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0490E" w14:textId="77777777" w:rsidR="00921A6F" w:rsidRPr="00921A6F" w:rsidRDefault="00921A6F" w:rsidP="00921A6F">
      <w:pPr>
        <w:jc w:val="center"/>
        <w:rPr>
          <w:rFonts w:ascii="Chalkduster" w:hAnsi="Chalkduster"/>
          <w:sz w:val="48"/>
          <w:szCs w:val="48"/>
          <w14:glow w14:rad="228600">
            <w14:schemeClr w14:val="accent1">
              <w14:alpha w14:val="60000"/>
              <w14:satMod w14:val="175000"/>
            </w14:schemeClr>
          </w14:glow>
          <w14:reflection w14:blurRad="6350" w14:stA="55000" w14:stPos="0" w14:endA="50" w14:endPos="85000" w14:dist="29997" w14:dir="5400000" w14:fadeDir="5400000" w14:sx="100000" w14:sy="-100000" w14:kx="0" w14:ky="0" w14:algn="bl"/>
        </w:rPr>
      </w:pPr>
      <w:bookmarkStart w:id="0" w:name="_GoBack"/>
      <w:bookmarkEnd w:id="0"/>
      <w:r w:rsidRPr="00456A9E">
        <w:rPr>
          <w:noProof/>
          <w:sz w:val="48"/>
          <w:szCs w:val="48"/>
        </w:rPr>
        <w:drawing>
          <wp:anchor distT="0" distB="0" distL="114300" distR="114300" simplePos="0" relativeHeight="251659264" behindDoc="0" locked="0" layoutInCell="1" allowOverlap="1" wp14:anchorId="7D7CBA0C" wp14:editId="34FA5546">
            <wp:simplePos x="0" y="0"/>
            <wp:positionH relativeFrom="column">
              <wp:posOffset>1783175</wp:posOffset>
            </wp:positionH>
            <wp:positionV relativeFrom="paragraph">
              <wp:posOffset>-669129</wp:posOffset>
            </wp:positionV>
            <wp:extent cx="2057400" cy="182900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clrChange>
                        <a:clrFrom>
                          <a:srgbClr val="FFFFFF"/>
                        </a:clrFrom>
                        <a:clrTo>
                          <a:srgbClr val="FFFFFF">
                            <a:alpha val="0"/>
                          </a:srgbClr>
                        </a:clrTo>
                      </a:clrChange>
                      <a:duotone>
                        <a:prstClr val="black"/>
                        <a:schemeClr val="accent6">
                          <a:tint val="45000"/>
                          <a:satMod val="400000"/>
                        </a:schemeClr>
                      </a:duotone>
                      <a:extLst>
                        <a:ext uri="{28A0092B-C50C-407E-A947-70E740481C1C}">
                          <a14:useLocalDpi xmlns:a14="http://schemas.microsoft.com/office/drawing/2010/main" val="0"/>
                        </a:ext>
                      </a:extLst>
                    </a:blip>
                    <a:srcRect l="9914" t="4206" r="18636" b="5579"/>
                    <a:stretch/>
                  </pic:blipFill>
                  <pic:spPr bwMode="auto">
                    <a:xfrm>
                      <a:off x="0" y="0"/>
                      <a:ext cx="2057400" cy="1829008"/>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Chalkduster" w:hAnsi="Chalkduster"/>
          <w:sz w:val="48"/>
          <w:szCs w:val="48"/>
          <w14:glow w14:rad="228600">
            <w14:schemeClr w14:val="accent1">
              <w14:alpha w14:val="60000"/>
              <w14:satMod w14:val="175000"/>
            </w14:schemeClr>
          </w14:glow>
          <w14:reflection w14:blurRad="6350" w14:stA="55000" w14:stPos="0" w14:endA="50" w14:endPos="85000" w14:dist="29997" w14:dir="5400000" w14:fadeDir="5400000" w14:sx="100000" w14:sy="-100000" w14:kx="0" w14:ky="0" w14:algn="bl"/>
        </w:rPr>
        <w:t>III</w:t>
      </w:r>
    </w:p>
    <w:p w14:paraId="5B1F8350" w14:textId="77777777" w:rsidR="00921A6F" w:rsidRPr="00921A6F" w:rsidRDefault="00921A6F" w:rsidP="00921A6F">
      <w:pPr>
        <w:jc w:val="center"/>
        <w:rPr>
          <w:rFonts w:ascii="Chalkduster" w:hAnsi="Chalkduster"/>
          <w:sz w:val="48"/>
          <w:szCs w:val="48"/>
          <w14:glow w14:rad="228600">
            <w14:schemeClr w14:val="accent1">
              <w14:alpha w14:val="60000"/>
              <w14:satMod w14:val="175000"/>
            </w14:schemeClr>
          </w14:glow>
          <w14:reflection w14:blurRad="6350" w14:stA="55000" w14:stPos="0" w14:endA="50" w14:endPos="85000" w14:dist="29997" w14:dir="5400000" w14:fadeDir="5400000" w14:sx="100000" w14:sy="-100000" w14:kx="0" w14:ky="0" w14:algn="bl"/>
        </w:rPr>
      </w:pPr>
      <w:r w:rsidRPr="00921A6F">
        <w:rPr>
          <w:rFonts w:ascii="Chalkduster" w:hAnsi="Chalkduster"/>
          <w:sz w:val="48"/>
          <w:szCs w:val="48"/>
          <w14:glow w14:rad="228600">
            <w14:schemeClr w14:val="accent1">
              <w14:alpha w14:val="60000"/>
              <w14:satMod w14:val="175000"/>
            </w14:schemeClr>
          </w14:glow>
          <w14:reflection w14:blurRad="6350" w14:stA="55000" w14:stPos="0" w14:endA="50" w14:endPos="85000" w14:dist="29997" w14:dir="5400000" w14:fadeDir="5400000" w14:sx="100000" w14:sy="-100000" w14:kx="0" w14:ky="0" w14:algn="bl"/>
        </w:rPr>
        <w:t>La Guyane et l’Union européenne</w:t>
      </w:r>
    </w:p>
    <w:p w14:paraId="62FD7D2F" w14:textId="77777777" w:rsidR="00921A6F" w:rsidRPr="00921A6F" w:rsidRDefault="00921A6F" w:rsidP="00921A6F">
      <w:pPr>
        <w:jc w:val="center"/>
        <w:rPr>
          <w:rFonts w:ascii="Chalkduster" w:hAnsi="Chalkduster"/>
          <w:sz w:val="48"/>
          <w:szCs w:val="48"/>
          <w14:glow w14:rad="228600">
            <w14:schemeClr w14:val="accent1">
              <w14:alpha w14:val="60000"/>
              <w14:satMod w14:val="175000"/>
            </w14:schemeClr>
          </w14:glow>
          <w14:reflection w14:blurRad="6350" w14:stA="55000" w14:stPos="0" w14:endA="50" w14:endPos="85000" w14:dist="29997" w14:dir="5400000" w14:fadeDir="5400000" w14:sx="100000" w14:sy="-100000" w14:kx="0" w14:ky="0" w14:algn="bl"/>
        </w:rPr>
      </w:pPr>
    </w:p>
    <w:p w14:paraId="31B86E35" w14:textId="77777777" w:rsidR="00921A6F" w:rsidRPr="009519F0" w:rsidRDefault="00921A6F" w:rsidP="00921A6F">
      <w:pPr>
        <w:rPr>
          <w:rFonts w:ascii="Verdana" w:eastAsia="Times New Roman" w:hAnsi="Verdana"/>
          <w:b/>
          <w:color w:val="000000"/>
          <w:sz w:val="18"/>
          <w:szCs w:val="18"/>
          <w:u w:val="single"/>
          <w:shd w:val="clear" w:color="auto" w:fill="FFFFFF"/>
        </w:rPr>
      </w:pPr>
      <w:r w:rsidRPr="009519F0">
        <w:rPr>
          <w:rFonts w:ascii="Verdana" w:eastAsia="Times New Roman" w:hAnsi="Verdana"/>
          <w:b/>
          <w:color w:val="000000"/>
          <w:sz w:val="18"/>
          <w:szCs w:val="18"/>
          <w:u w:val="single"/>
          <w:shd w:val="clear" w:color="auto" w:fill="FFFFFF"/>
        </w:rPr>
        <w:t xml:space="preserve">Extraits tirés de l’article : </w:t>
      </w:r>
    </w:p>
    <w:p w14:paraId="0B68C3F2" w14:textId="77777777" w:rsidR="00921A6F" w:rsidRPr="009519F0" w:rsidRDefault="00921A6F" w:rsidP="00921A6F">
      <w:pPr>
        <w:rPr>
          <w:rFonts w:ascii="Verdana" w:eastAsia="Times New Roman" w:hAnsi="Verdana"/>
          <w:color w:val="000000"/>
          <w:sz w:val="18"/>
          <w:szCs w:val="18"/>
          <w:shd w:val="clear" w:color="auto" w:fill="FFFFFF"/>
        </w:rPr>
      </w:pPr>
      <w:r w:rsidRPr="009519F0">
        <w:rPr>
          <w:rFonts w:ascii="Verdana" w:eastAsia="Times New Roman" w:hAnsi="Verdana"/>
          <w:i/>
          <w:color w:val="000000"/>
          <w:sz w:val="18"/>
          <w:szCs w:val="18"/>
          <w:shd w:val="clear" w:color="auto" w:fill="FFFFFF"/>
        </w:rPr>
        <w:t>La géopolitique de l'Union Européenne pour les régions ultrapériphériques: Assimilation, fragmentation et rôle de la Guyane française dans son contexte régional</w:t>
      </w:r>
      <w:r w:rsidRPr="009519F0">
        <w:rPr>
          <w:rFonts w:ascii="Verdana" w:eastAsia="Times New Roman" w:hAnsi="Verdana"/>
          <w:color w:val="000000"/>
          <w:sz w:val="18"/>
          <w:szCs w:val="18"/>
          <w:shd w:val="clear" w:color="auto" w:fill="FFFFFF"/>
        </w:rPr>
        <w:t xml:space="preserve">, </w:t>
      </w:r>
      <w:proofErr w:type="spellStart"/>
      <w:r w:rsidRPr="009519F0">
        <w:rPr>
          <w:rFonts w:ascii="Verdana" w:eastAsia="Times New Roman" w:hAnsi="Verdana"/>
          <w:color w:val="000000"/>
          <w:sz w:val="18"/>
          <w:szCs w:val="18"/>
          <w:shd w:val="clear" w:color="auto" w:fill="FFFFFF"/>
        </w:rPr>
        <w:t>Gutemberg</w:t>
      </w:r>
      <w:proofErr w:type="spellEnd"/>
      <w:r w:rsidRPr="009519F0">
        <w:rPr>
          <w:rFonts w:ascii="Verdana" w:eastAsia="Times New Roman" w:hAnsi="Verdana"/>
          <w:color w:val="000000"/>
          <w:sz w:val="18"/>
          <w:szCs w:val="18"/>
          <w:shd w:val="clear" w:color="auto" w:fill="FFFFFF"/>
        </w:rPr>
        <w:t xml:space="preserve"> de </w:t>
      </w:r>
      <w:proofErr w:type="spellStart"/>
      <w:r w:rsidRPr="009519F0">
        <w:rPr>
          <w:rFonts w:ascii="Verdana" w:eastAsia="Times New Roman" w:hAnsi="Verdana"/>
          <w:color w:val="000000"/>
          <w:sz w:val="18"/>
          <w:szCs w:val="18"/>
          <w:shd w:val="clear" w:color="auto" w:fill="FFFFFF"/>
        </w:rPr>
        <w:t>Vilhena</w:t>
      </w:r>
      <w:proofErr w:type="spellEnd"/>
      <w:r w:rsidRPr="009519F0">
        <w:rPr>
          <w:rFonts w:ascii="Verdana" w:eastAsia="Times New Roman" w:hAnsi="Verdana"/>
          <w:color w:val="000000"/>
          <w:sz w:val="18"/>
          <w:szCs w:val="18"/>
          <w:shd w:val="clear" w:color="auto" w:fill="FFFFFF"/>
        </w:rPr>
        <w:t xml:space="preserve"> Silva, </w:t>
      </w:r>
      <w:proofErr w:type="spellStart"/>
      <w:r w:rsidRPr="009519F0">
        <w:rPr>
          <w:rFonts w:ascii="Verdana" w:eastAsia="Times New Roman" w:hAnsi="Verdana"/>
          <w:color w:val="000000"/>
          <w:sz w:val="18"/>
          <w:szCs w:val="18"/>
          <w:shd w:val="clear" w:color="auto" w:fill="FFFFFF"/>
        </w:rPr>
        <w:t>Jadson</w:t>
      </w:r>
      <w:proofErr w:type="spellEnd"/>
      <w:r w:rsidRPr="009519F0">
        <w:rPr>
          <w:rFonts w:ascii="Verdana" w:eastAsia="Times New Roman" w:hAnsi="Verdana"/>
          <w:color w:val="000000"/>
          <w:sz w:val="18"/>
          <w:szCs w:val="18"/>
          <w:shd w:val="clear" w:color="auto" w:fill="FFFFFF"/>
        </w:rPr>
        <w:t xml:space="preserve"> Luis </w:t>
      </w:r>
      <w:proofErr w:type="spellStart"/>
      <w:r w:rsidRPr="009519F0">
        <w:rPr>
          <w:rFonts w:ascii="Verdana" w:eastAsia="Times New Roman" w:hAnsi="Verdana"/>
          <w:color w:val="000000"/>
          <w:sz w:val="18"/>
          <w:szCs w:val="18"/>
          <w:shd w:val="clear" w:color="auto" w:fill="FFFFFF"/>
        </w:rPr>
        <w:t>Rebelo</w:t>
      </w:r>
      <w:proofErr w:type="spellEnd"/>
      <w:r w:rsidRPr="009519F0">
        <w:rPr>
          <w:rFonts w:ascii="Verdana" w:eastAsia="Times New Roman" w:hAnsi="Verdana"/>
          <w:color w:val="000000"/>
          <w:sz w:val="18"/>
          <w:szCs w:val="18"/>
          <w:shd w:val="clear" w:color="auto" w:fill="FFFFFF"/>
        </w:rPr>
        <w:t xml:space="preserve"> Porto, Paula Gabriele </w:t>
      </w:r>
      <w:proofErr w:type="spellStart"/>
      <w:r w:rsidRPr="009519F0">
        <w:rPr>
          <w:rFonts w:ascii="Verdana" w:eastAsia="Times New Roman" w:hAnsi="Verdana"/>
          <w:color w:val="000000"/>
          <w:sz w:val="18"/>
          <w:szCs w:val="18"/>
          <w:shd w:val="clear" w:color="auto" w:fill="FFFFFF"/>
        </w:rPr>
        <w:t>Sena</w:t>
      </w:r>
      <w:proofErr w:type="spellEnd"/>
      <w:r w:rsidRPr="009519F0">
        <w:rPr>
          <w:rFonts w:ascii="Verdana" w:eastAsia="Times New Roman" w:hAnsi="Verdana"/>
          <w:color w:val="000000"/>
          <w:sz w:val="18"/>
          <w:szCs w:val="18"/>
          <w:shd w:val="clear" w:color="auto" w:fill="FFFFFF"/>
        </w:rPr>
        <w:t xml:space="preserve"> dos Santos et Miguel Dhenin, CONFINS, revue franco-</w:t>
      </w:r>
      <w:proofErr w:type="spellStart"/>
      <w:r w:rsidRPr="009519F0">
        <w:rPr>
          <w:rFonts w:ascii="Verdana" w:eastAsia="Times New Roman" w:hAnsi="Verdana"/>
          <w:color w:val="000000"/>
          <w:sz w:val="18"/>
          <w:szCs w:val="18"/>
          <w:shd w:val="clear" w:color="auto" w:fill="FFFFFF"/>
        </w:rPr>
        <w:t>bréilienne</w:t>
      </w:r>
      <w:proofErr w:type="spellEnd"/>
      <w:r w:rsidRPr="009519F0">
        <w:rPr>
          <w:rFonts w:ascii="Verdana" w:eastAsia="Times New Roman" w:hAnsi="Verdana"/>
          <w:color w:val="000000"/>
          <w:sz w:val="18"/>
          <w:szCs w:val="18"/>
          <w:shd w:val="clear" w:color="auto" w:fill="FFFFFF"/>
        </w:rPr>
        <w:t xml:space="preserve"> de géographie, n°26, 2016.</w:t>
      </w:r>
    </w:p>
    <w:p w14:paraId="4D31C27A" w14:textId="77777777" w:rsidR="00921A6F" w:rsidRDefault="00921A6F" w:rsidP="00921A6F">
      <w:pPr>
        <w:rPr>
          <w:rFonts w:ascii="Chalkduster" w:hAnsi="Chalkduster"/>
          <w:color w:val="8496B0" w:themeColor="text2" w:themeTint="99"/>
          <w:sz w:val="28"/>
          <w:szCs w:val="28"/>
          <w:u w:val="single"/>
        </w:rPr>
      </w:pPr>
    </w:p>
    <w:p w14:paraId="08FE9891" w14:textId="77777777" w:rsidR="00921A6F" w:rsidRPr="009519F0" w:rsidRDefault="00921A6F" w:rsidP="00921A6F">
      <w:pPr>
        <w:rPr>
          <w:rFonts w:ascii="Chalkduster" w:hAnsi="Chalkduster"/>
          <w:color w:val="8496B0" w:themeColor="text2" w:themeTint="99"/>
          <w:sz w:val="28"/>
          <w:szCs w:val="28"/>
          <w:u w:val="single"/>
        </w:rPr>
      </w:pPr>
    </w:p>
    <w:p w14:paraId="2A2FA8C7" w14:textId="77777777" w:rsidR="00921A6F" w:rsidRDefault="00921A6F" w:rsidP="00921A6F">
      <w:pPr>
        <w:jc w:val="both"/>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 </w:t>
      </w:r>
      <w:r w:rsidRPr="00B67F27">
        <w:rPr>
          <w:rFonts w:ascii="Arial" w:eastAsia="Times New Roman" w:hAnsi="Arial" w:cs="Arial"/>
          <w:b/>
          <w:color w:val="000000"/>
          <w:sz w:val="20"/>
          <w:szCs w:val="20"/>
          <w:shd w:val="clear" w:color="auto" w:fill="FFFFFF"/>
        </w:rPr>
        <w:t>Les RUP sont des postes avancés de l’Union Européenne dans le monde</w:t>
      </w:r>
      <w:r w:rsidRPr="00B67F27">
        <w:rPr>
          <w:rFonts w:ascii="Arial" w:eastAsia="Times New Roman" w:hAnsi="Arial" w:cs="Arial"/>
          <w:color w:val="000000"/>
          <w:sz w:val="20"/>
          <w:szCs w:val="20"/>
          <w:shd w:val="clear" w:color="auto" w:fill="FFFFFF"/>
        </w:rPr>
        <w:t>, développant un rôle stratégique dans la protection des routes maritimes d’Europe et dans la défense de ses frontières extérieures, ce qui est clairement une stratégie géopolitique.</w:t>
      </w:r>
    </w:p>
    <w:p w14:paraId="016A9351" w14:textId="77777777" w:rsidR="00921A6F" w:rsidRPr="00B67F27" w:rsidRDefault="00921A6F" w:rsidP="00921A6F">
      <w:pPr>
        <w:jc w:val="both"/>
        <w:rPr>
          <w:rFonts w:ascii="Arial" w:eastAsia="Times New Roman" w:hAnsi="Arial" w:cs="Arial"/>
          <w:sz w:val="20"/>
          <w:szCs w:val="20"/>
        </w:rPr>
      </w:pPr>
    </w:p>
    <w:p w14:paraId="70A246AA" w14:textId="77777777" w:rsidR="00921A6F" w:rsidRDefault="00921A6F" w:rsidP="00921A6F">
      <w:pPr>
        <w:jc w:val="both"/>
        <w:rPr>
          <w:rFonts w:ascii="Arial" w:eastAsia="Times New Roman" w:hAnsi="Arial" w:cs="Arial"/>
          <w:color w:val="000000"/>
          <w:sz w:val="20"/>
          <w:szCs w:val="20"/>
          <w:shd w:val="clear" w:color="auto" w:fill="FFFFFF"/>
        </w:rPr>
      </w:pPr>
      <w:r w:rsidRPr="00B67F27">
        <w:rPr>
          <w:rFonts w:ascii="Arial" w:eastAsia="Times New Roman" w:hAnsi="Arial" w:cs="Arial"/>
          <w:color w:val="000000"/>
          <w:sz w:val="20"/>
          <w:szCs w:val="20"/>
          <w:shd w:val="clear" w:color="auto" w:fill="FFFFFF"/>
        </w:rPr>
        <w:t xml:space="preserve">De toutes les RUP, </w:t>
      </w:r>
      <w:r w:rsidRPr="00B67F27">
        <w:rPr>
          <w:rFonts w:ascii="Arial" w:eastAsia="Times New Roman" w:hAnsi="Arial" w:cs="Arial"/>
          <w:b/>
          <w:color w:val="000000"/>
          <w:sz w:val="20"/>
          <w:szCs w:val="20"/>
          <w:shd w:val="clear" w:color="auto" w:fill="FFFFFF"/>
        </w:rPr>
        <w:t>la Guyane est la seule à être localisée dans un espace continental</w:t>
      </w:r>
      <w:r w:rsidRPr="00B67F27">
        <w:rPr>
          <w:rFonts w:ascii="Arial" w:eastAsia="Times New Roman" w:hAnsi="Arial" w:cs="Arial"/>
          <w:color w:val="000000"/>
          <w:sz w:val="20"/>
          <w:szCs w:val="20"/>
          <w:shd w:val="clear" w:color="auto" w:fill="FFFFFF"/>
        </w:rPr>
        <w:t xml:space="preserve"> (les autres sont insulaires) ; elle possède aussi la plus grande superficie (correspondant à 93,53% des RUP françaises et 83,60% de tous les territoires ultrapériphériques), la plus faible densité démographique et son PIB par habitant est en-dessous de la moyenne des RUP, et n’atteint pas non plus la moitié de la valeur enregistrée de la France Métropolitaine</w:t>
      </w:r>
      <w:r>
        <w:rPr>
          <w:rFonts w:ascii="Arial" w:eastAsia="Times New Roman" w:hAnsi="Arial" w:cs="Arial"/>
          <w:color w:val="000000"/>
          <w:sz w:val="20"/>
          <w:szCs w:val="20"/>
          <w:shd w:val="clear" w:color="auto" w:fill="FFFFFF"/>
        </w:rPr>
        <w:t>.</w:t>
      </w:r>
    </w:p>
    <w:p w14:paraId="1C7DE976" w14:textId="77777777" w:rsidR="00921A6F" w:rsidRPr="00B67F27" w:rsidRDefault="00921A6F" w:rsidP="00921A6F">
      <w:pPr>
        <w:jc w:val="both"/>
        <w:rPr>
          <w:rFonts w:ascii="Arial" w:eastAsia="Times New Roman" w:hAnsi="Arial" w:cs="Arial"/>
          <w:sz w:val="20"/>
          <w:szCs w:val="20"/>
        </w:rPr>
      </w:pPr>
    </w:p>
    <w:p w14:paraId="25722311" w14:textId="77777777" w:rsidR="00921A6F" w:rsidRPr="00B67F27" w:rsidRDefault="00921A6F" w:rsidP="00921A6F">
      <w:pPr>
        <w:jc w:val="both"/>
        <w:rPr>
          <w:rFonts w:ascii="Arial" w:eastAsia="Times New Roman" w:hAnsi="Arial" w:cs="Arial"/>
          <w:sz w:val="20"/>
          <w:szCs w:val="20"/>
        </w:rPr>
      </w:pPr>
      <w:r w:rsidRPr="00B67F27">
        <w:rPr>
          <w:rFonts w:ascii="Arial" w:eastAsia="Times New Roman" w:hAnsi="Arial" w:cs="Arial"/>
          <w:color w:val="000000"/>
          <w:sz w:val="20"/>
          <w:szCs w:val="20"/>
          <w:shd w:val="clear" w:color="auto" w:fill="FFFFFF"/>
        </w:rPr>
        <w:t>Dans le domaine de l’agriculture, les RUP sont soutenues par les programmes POSEI (Programme d’Options Spécifiques pour faire face à l’Eloignement et l’Insularité)</w:t>
      </w:r>
      <w:r>
        <w:rPr>
          <w:rFonts w:ascii="Arial" w:eastAsia="Times New Roman" w:hAnsi="Arial" w:cs="Arial"/>
          <w:color w:val="000000"/>
          <w:sz w:val="20"/>
          <w:szCs w:val="20"/>
          <w:shd w:val="clear" w:color="auto" w:fill="FFFFFF"/>
        </w:rPr>
        <w:t>.</w:t>
      </w:r>
    </w:p>
    <w:p w14:paraId="26B81CCB" w14:textId="77777777" w:rsidR="00921A6F" w:rsidRPr="00B67F27" w:rsidRDefault="00921A6F" w:rsidP="00921A6F">
      <w:pPr>
        <w:jc w:val="both"/>
        <w:rPr>
          <w:rFonts w:ascii="Arial" w:eastAsia="Times New Roman" w:hAnsi="Arial" w:cs="Arial"/>
          <w:sz w:val="20"/>
          <w:szCs w:val="20"/>
        </w:rPr>
      </w:pPr>
      <w:r>
        <w:rPr>
          <w:rFonts w:ascii="Arial" w:eastAsia="Times New Roman" w:hAnsi="Arial" w:cs="Arial"/>
          <w:color w:val="000000"/>
          <w:sz w:val="20"/>
          <w:szCs w:val="20"/>
          <w:shd w:val="clear" w:color="auto" w:fill="FFFFFF"/>
        </w:rPr>
        <w:t>E</w:t>
      </w:r>
      <w:r w:rsidRPr="00B67F27">
        <w:rPr>
          <w:rFonts w:ascii="Arial" w:eastAsia="Times New Roman" w:hAnsi="Arial" w:cs="Arial"/>
          <w:color w:val="000000"/>
          <w:sz w:val="20"/>
          <w:szCs w:val="20"/>
          <w:shd w:val="clear" w:color="auto" w:fill="FFFFFF"/>
        </w:rPr>
        <w:t xml:space="preserve">n termes maritimes, </w:t>
      </w:r>
      <w:r w:rsidRPr="00B67F27">
        <w:rPr>
          <w:rFonts w:ascii="Arial" w:eastAsia="Times New Roman" w:hAnsi="Arial" w:cs="Arial"/>
          <w:b/>
          <w:color w:val="000000"/>
          <w:sz w:val="20"/>
          <w:szCs w:val="20"/>
          <w:shd w:val="clear" w:color="auto" w:fill="FFFFFF"/>
        </w:rPr>
        <w:t>les RUP représentent plus de la moitié de la zone économique exclusive (ZEE) de l’Union Européenne</w:t>
      </w:r>
      <w:r w:rsidRPr="00B67F27">
        <w:rPr>
          <w:rFonts w:ascii="Arial" w:eastAsia="Times New Roman" w:hAnsi="Arial" w:cs="Arial"/>
          <w:color w:val="000000"/>
          <w:sz w:val="20"/>
          <w:szCs w:val="20"/>
          <w:shd w:val="clear" w:color="auto" w:fill="FFFFFF"/>
        </w:rPr>
        <w:t>, avec une réserve potentielle de ressources marines de 15 millions de km² environ</w:t>
      </w:r>
      <w:r>
        <w:rPr>
          <w:rFonts w:ascii="Arial" w:eastAsia="Times New Roman" w:hAnsi="Arial" w:cs="Arial"/>
          <w:color w:val="000000"/>
          <w:sz w:val="20"/>
          <w:szCs w:val="20"/>
          <w:shd w:val="clear" w:color="auto" w:fill="FFFFFF"/>
        </w:rPr>
        <w:t>.</w:t>
      </w:r>
    </w:p>
    <w:p w14:paraId="00355484" w14:textId="77777777" w:rsidR="00921A6F" w:rsidRDefault="00921A6F" w:rsidP="00921A6F">
      <w:pPr>
        <w:jc w:val="both"/>
        <w:rPr>
          <w:rFonts w:ascii="Arial" w:eastAsia="Times New Roman" w:hAnsi="Arial" w:cs="Arial"/>
          <w:color w:val="000000"/>
          <w:sz w:val="20"/>
          <w:szCs w:val="20"/>
          <w:shd w:val="clear" w:color="auto" w:fill="FFFFFF"/>
        </w:rPr>
      </w:pPr>
      <w:r w:rsidRPr="00B67F27">
        <w:rPr>
          <w:rFonts w:ascii="Arial" w:eastAsia="Times New Roman" w:hAnsi="Arial" w:cs="Arial"/>
          <w:b/>
          <w:color w:val="000000"/>
          <w:sz w:val="20"/>
          <w:szCs w:val="20"/>
          <w:shd w:val="clear" w:color="auto" w:fill="FFFFFF"/>
        </w:rPr>
        <w:t>Leur biodiversité représente un potentiel</w:t>
      </w:r>
      <w:r w:rsidRPr="00B67F27">
        <w:rPr>
          <w:rFonts w:ascii="Arial" w:eastAsia="Times New Roman" w:hAnsi="Arial" w:cs="Arial"/>
          <w:color w:val="000000"/>
          <w:sz w:val="20"/>
          <w:szCs w:val="20"/>
          <w:shd w:val="clear" w:color="auto" w:fill="FFFFFF"/>
        </w:rPr>
        <w:t xml:space="preserve"> dans le secteur de la santé, de la biomédecine et de la pharmacie, des cosmétiques et beaucoup d’autres secteurs comme celui des matériaux de construction écologiques et celui du bois. Les conditions existent dans diverses régions pour </w:t>
      </w:r>
      <w:r w:rsidRPr="00B67F27">
        <w:rPr>
          <w:rFonts w:ascii="Arial" w:eastAsia="Times New Roman" w:hAnsi="Arial" w:cs="Arial"/>
          <w:b/>
          <w:color w:val="000000"/>
          <w:sz w:val="20"/>
          <w:szCs w:val="20"/>
          <w:shd w:val="clear" w:color="auto" w:fill="FFFFFF"/>
        </w:rPr>
        <w:t>développer des sources d’énergie renouvelable</w:t>
      </w:r>
      <w:r w:rsidRPr="00B67F27">
        <w:rPr>
          <w:rFonts w:ascii="Arial" w:eastAsia="Times New Roman" w:hAnsi="Arial" w:cs="Arial"/>
          <w:color w:val="000000"/>
          <w:sz w:val="20"/>
          <w:szCs w:val="20"/>
          <w:shd w:val="clear" w:color="auto" w:fill="FFFFFF"/>
        </w:rPr>
        <w:t xml:space="preserve">, des biocombustibles à l’énergie éolique, solaire, géothermique ou photovoltaïque. En termes de </w:t>
      </w:r>
      <w:r w:rsidRPr="00B67F27">
        <w:rPr>
          <w:rFonts w:ascii="Arial" w:eastAsia="Times New Roman" w:hAnsi="Arial" w:cs="Arial"/>
          <w:b/>
          <w:color w:val="000000"/>
          <w:sz w:val="20"/>
          <w:szCs w:val="20"/>
          <w:shd w:val="clear" w:color="auto" w:fill="FFFFFF"/>
        </w:rPr>
        <w:t>capital humain</w:t>
      </w:r>
      <w:r w:rsidRPr="00B67F27">
        <w:rPr>
          <w:rFonts w:ascii="Arial" w:eastAsia="Times New Roman" w:hAnsi="Arial" w:cs="Arial"/>
          <w:color w:val="000000"/>
          <w:sz w:val="20"/>
          <w:szCs w:val="20"/>
          <w:shd w:val="clear" w:color="auto" w:fill="FFFFFF"/>
        </w:rPr>
        <w:t>, les RUP disposent d’une main d’œuvre aux niveaux d’éducation et de qualification plus élevés, et de services publics et de compétences plus élevés que les pays voisins, avec la possibilité de rendre des services et des connaissances spécialisés dans des secteurs à forte valeur agrégée</w:t>
      </w:r>
      <w:r>
        <w:rPr>
          <w:rFonts w:ascii="Arial" w:eastAsia="Times New Roman" w:hAnsi="Arial" w:cs="Arial"/>
          <w:color w:val="000000"/>
          <w:sz w:val="20"/>
          <w:szCs w:val="20"/>
          <w:shd w:val="clear" w:color="auto" w:fill="FFFFFF"/>
        </w:rPr>
        <w:t>.</w:t>
      </w:r>
    </w:p>
    <w:p w14:paraId="18F80B58" w14:textId="77777777" w:rsidR="00921A6F" w:rsidRPr="00B67F27" w:rsidRDefault="00921A6F" w:rsidP="00921A6F">
      <w:pPr>
        <w:jc w:val="both"/>
        <w:rPr>
          <w:rFonts w:ascii="Arial" w:eastAsia="Times New Roman" w:hAnsi="Arial" w:cs="Arial"/>
          <w:sz w:val="20"/>
          <w:szCs w:val="20"/>
        </w:rPr>
      </w:pPr>
    </w:p>
    <w:p w14:paraId="7ED7FC11" w14:textId="77777777" w:rsidR="00921A6F" w:rsidRDefault="00921A6F" w:rsidP="00921A6F">
      <w:pPr>
        <w:jc w:val="both"/>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 </w:t>
      </w:r>
      <w:r w:rsidRPr="00B67F27">
        <w:rPr>
          <w:rFonts w:ascii="Arial" w:eastAsia="Times New Roman" w:hAnsi="Arial" w:cs="Arial"/>
          <w:color w:val="000000"/>
          <w:sz w:val="20"/>
          <w:szCs w:val="20"/>
          <w:shd w:val="clear" w:color="auto" w:fill="FFFFFF"/>
        </w:rPr>
        <w:t>Les problèmes structurels des RUP (éloignement, marché intérieur réduit, forte dépendance d’un petit nombre de secteurs de production, déficit de technologies et d’accessibilité, hauts niveaux de chômage) sont significatifs.</w:t>
      </w:r>
    </w:p>
    <w:p w14:paraId="3EEE2339" w14:textId="77777777" w:rsidR="00921A6F" w:rsidRPr="00B67F27" w:rsidRDefault="00921A6F" w:rsidP="00921A6F">
      <w:pPr>
        <w:jc w:val="both"/>
        <w:rPr>
          <w:rFonts w:ascii="Arial" w:eastAsia="Times New Roman" w:hAnsi="Arial" w:cs="Arial"/>
          <w:sz w:val="20"/>
          <w:szCs w:val="20"/>
        </w:rPr>
      </w:pPr>
    </w:p>
    <w:p w14:paraId="50CA2848" w14:textId="77777777" w:rsidR="00921A6F" w:rsidRPr="00B67F27" w:rsidRDefault="00921A6F" w:rsidP="00921A6F">
      <w:pPr>
        <w:jc w:val="both"/>
        <w:rPr>
          <w:rFonts w:ascii="Arial" w:eastAsia="Times New Roman" w:hAnsi="Arial" w:cs="Arial"/>
          <w:sz w:val="20"/>
          <w:szCs w:val="20"/>
        </w:rPr>
      </w:pPr>
      <w:r w:rsidRPr="00B67F27">
        <w:rPr>
          <w:rFonts w:ascii="Arial" w:eastAsia="Times New Roman" w:hAnsi="Arial" w:cs="Arial"/>
          <w:color w:val="000000"/>
          <w:sz w:val="20"/>
          <w:szCs w:val="20"/>
          <w:shd w:val="clear" w:color="auto" w:fill="FFFFFF"/>
        </w:rPr>
        <w:t xml:space="preserve">Dans le cas spécifique de la </w:t>
      </w:r>
      <w:r w:rsidRPr="00B67F27">
        <w:rPr>
          <w:rFonts w:ascii="Arial" w:eastAsia="Times New Roman" w:hAnsi="Arial" w:cs="Arial"/>
          <w:b/>
          <w:color w:val="000000"/>
          <w:sz w:val="20"/>
          <w:szCs w:val="20"/>
          <w:shd w:val="clear" w:color="auto" w:fill="FFFFFF"/>
        </w:rPr>
        <w:t>Guyane Française</w:t>
      </w:r>
      <w:r w:rsidRPr="00B67F27">
        <w:rPr>
          <w:rFonts w:ascii="Arial" w:eastAsia="Times New Roman" w:hAnsi="Arial" w:cs="Arial"/>
          <w:color w:val="000000"/>
          <w:sz w:val="20"/>
          <w:szCs w:val="20"/>
          <w:shd w:val="clear" w:color="auto" w:fill="FFFFFF"/>
        </w:rPr>
        <w:t>, il y a aussi un manque généralisé de qualification des populations autochtones, une difficile accessibilité interne, l’absence de structuration des principaux secteurs économiques, la dimension réduite du marché intérieur et, enfin, le nombre limité d’entreprises capable</w:t>
      </w:r>
      <w:r>
        <w:rPr>
          <w:rFonts w:ascii="Arial" w:eastAsia="Times New Roman" w:hAnsi="Arial" w:cs="Arial"/>
          <w:color w:val="000000"/>
          <w:sz w:val="20"/>
          <w:szCs w:val="20"/>
          <w:shd w:val="clear" w:color="auto" w:fill="FFFFFF"/>
        </w:rPr>
        <w:t>s</w:t>
      </w:r>
      <w:r w:rsidRPr="00B67F27">
        <w:rPr>
          <w:rFonts w:ascii="Arial" w:eastAsia="Times New Roman" w:hAnsi="Arial" w:cs="Arial"/>
          <w:color w:val="000000"/>
          <w:sz w:val="20"/>
          <w:szCs w:val="20"/>
          <w:shd w:val="clear" w:color="auto" w:fill="FFFFFF"/>
        </w:rPr>
        <w:t xml:space="preserve"> de garantir la compétitivité régionale en cas de renforcement de la coopération transfrontalière. Tous ces éléments compliquent la croissance du tissu économique interne et/ou la création de barrières pour une meilleure insertion régionale de la Guyane.</w:t>
      </w:r>
    </w:p>
    <w:p w14:paraId="7678458B" w14:textId="77777777" w:rsidR="00921A6F" w:rsidRDefault="00921A6F" w:rsidP="00921A6F">
      <w:pPr>
        <w:jc w:val="both"/>
        <w:rPr>
          <w:rFonts w:ascii="Arial" w:eastAsia="Times New Roman" w:hAnsi="Arial" w:cs="Arial"/>
          <w:color w:val="000000"/>
          <w:sz w:val="20"/>
          <w:szCs w:val="20"/>
          <w:shd w:val="clear" w:color="auto" w:fill="FFFFFF"/>
        </w:rPr>
      </w:pPr>
      <w:r w:rsidRPr="00B67F27">
        <w:rPr>
          <w:rFonts w:ascii="Arial" w:eastAsia="Times New Roman" w:hAnsi="Arial" w:cs="Arial"/>
          <w:color w:val="000000"/>
          <w:sz w:val="20"/>
          <w:szCs w:val="20"/>
          <w:shd w:val="clear" w:color="auto" w:fill="FFFFFF"/>
        </w:rPr>
        <w:t>D’un côté, il existe un renforcement du contrôle des entrées et sorties depuis le proche voisinage (Brésil et Surinam) et, de l’autre, la formulation de propositions institutionnelles pour le renforcement « sélectif » des mécanismes de coopération transfrontalière institutionnalisée, ce dernier étudié par Silva (2013).</w:t>
      </w:r>
    </w:p>
    <w:p w14:paraId="7F10DB34" w14:textId="77777777" w:rsidR="00921A6F" w:rsidRPr="00B67F27" w:rsidRDefault="00921A6F" w:rsidP="00921A6F">
      <w:pPr>
        <w:jc w:val="both"/>
        <w:rPr>
          <w:rFonts w:ascii="Arial" w:eastAsia="Times New Roman" w:hAnsi="Arial" w:cs="Arial"/>
          <w:sz w:val="20"/>
          <w:szCs w:val="20"/>
        </w:rPr>
      </w:pPr>
    </w:p>
    <w:p w14:paraId="44B667E1" w14:textId="77777777" w:rsidR="00921A6F" w:rsidRDefault="00921A6F" w:rsidP="00921A6F">
      <w:pPr>
        <w:jc w:val="both"/>
        <w:rPr>
          <w:rFonts w:ascii="Arial" w:eastAsia="Times New Roman" w:hAnsi="Arial" w:cs="Arial"/>
          <w:color w:val="000000"/>
          <w:sz w:val="20"/>
          <w:szCs w:val="20"/>
          <w:shd w:val="clear" w:color="auto" w:fill="FFFFFF"/>
        </w:rPr>
      </w:pPr>
      <w:r w:rsidRPr="00B67F27">
        <w:rPr>
          <w:rFonts w:ascii="Arial" w:eastAsia="Times New Roman" w:hAnsi="Arial" w:cs="Arial"/>
          <w:color w:val="000000"/>
          <w:sz w:val="20"/>
          <w:szCs w:val="20"/>
          <w:shd w:val="clear" w:color="auto" w:fill="FFFFFF"/>
        </w:rPr>
        <w:t xml:space="preserve">La Guyane se trouve dans une position géographique privilégiée pour l’Union Européenne en Amérique du Sud, tant du fait de la base de lancement de satellites située dans la ville de Kourou, que par la biodiversité qui y est présente (Silva, 2013 ; </w:t>
      </w:r>
      <w:proofErr w:type="spellStart"/>
      <w:r w:rsidRPr="00B67F27">
        <w:rPr>
          <w:rFonts w:ascii="Arial" w:eastAsia="Times New Roman" w:hAnsi="Arial" w:cs="Arial"/>
          <w:color w:val="000000"/>
          <w:sz w:val="20"/>
          <w:szCs w:val="20"/>
          <w:shd w:val="clear" w:color="auto" w:fill="FFFFFF"/>
        </w:rPr>
        <w:t>Sena</w:t>
      </w:r>
      <w:proofErr w:type="spellEnd"/>
      <w:r w:rsidRPr="00B67F27">
        <w:rPr>
          <w:rFonts w:ascii="Arial" w:eastAsia="Times New Roman" w:hAnsi="Arial" w:cs="Arial"/>
          <w:color w:val="000000"/>
          <w:sz w:val="20"/>
          <w:szCs w:val="20"/>
          <w:shd w:val="clear" w:color="auto" w:fill="FFFFFF"/>
        </w:rPr>
        <w:t xml:space="preserve"> dos Santos, 2013 ; Porto, 2014), par les politiques de coopération régionale avec des pays comme le Brésil de manière directe, et des marchés régionaux comme l’Union des Nations Sud-Américaines (UNASUL) de manière indirecte. Une telle condition, associée aux orientations générales établies pour les RUP, a stimulé l’organisation, la structuration et l’exécution de nouvelles actions politiques plus adaptées aux modèles et spatialités spécifiques aux villes guyanaises.</w:t>
      </w:r>
    </w:p>
    <w:p w14:paraId="24BC04AC" w14:textId="77777777" w:rsidR="00921A6F" w:rsidRPr="00B67F27" w:rsidRDefault="00921A6F" w:rsidP="00921A6F">
      <w:pPr>
        <w:jc w:val="both"/>
        <w:rPr>
          <w:rFonts w:ascii="Arial" w:eastAsia="Times New Roman" w:hAnsi="Arial" w:cs="Arial"/>
          <w:sz w:val="20"/>
          <w:szCs w:val="20"/>
        </w:rPr>
      </w:pPr>
    </w:p>
    <w:p w14:paraId="5C0BFD78" w14:textId="77777777" w:rsidR="00921A6F" w:rsidRPr="00B67F27" w:rsidRDefault="00921A6F" w:rsidP="00921A6F">
      <w:pPr>
        <w:jc w:val="both"/>
        <w:rPr>
          <w:rFonts w:ascii="Arial" w:eastAsia="Times New Roman" w:hAnsi="Arial" w:cs="Arial"/>
          <w:sz w:val="20"/>
          <w:szCs w:val="20"/>
        </w:rPr>
      </w:pPr>
      <w:r w:rsidRPr="00AE6D61">
        <w:rPr>
          <w:rFonts w:ascii="Arial" w:eastAsia="Times New Roman" w:hAnsi="Arial" w:cs="Arial"/>
          <w:b/>
          <w:color w:val="000000"/>
          <w:sz w:val="20"/>
          <w:szCs w:val="20"/>
          <w:shd w:val="clear" w:color="auto" w:fill="FFFFFF"/>
        </w:rPr>
        <w:t>Le CSG, est devenue le « port  spatial de l’Europe ».</w:t>
      </w:r>
      <w:r w:rsidRPr="00B67F27">
        <w:rPr>
          <w:rFonts w:ascii="Arial" w:eastAsia="Times New Roman" w:hAnsi="Arial" w:cs="Arial"/>
          <w:color w:val="000000"/>
          <w:sz w:val="20"/>
          <w:szCs w:val="20"/>
          <w:shd w:val="clear" w:color="auto" w:fill="FFFFFF"/>
        </w:rPr>
        <w:t xml:space="preserve"> L’Agence Spatiale Européenne (</w:t>
      </w:r>
      <w:proofErr w:type="spellStart"/>
      <w:r w:rsidRPr="00B67F27">
        <w:rPr>
          <w:rFonts w:ascii="Arial" w:eastAsia="Times New Roman" w:hAnsi="Arial" w:cs="Arial"/>
          <w:color w:val="000000"/>
          <w:sz w:val="20"/>
          <w:szCs w:val="20"/>
          <w:shd w:val="clear" w:color="auto" w:fill="FFFFFF"/>
        </w:rPr>
        <w:t>European</w:t>
      </w:r>
      <w:proofErr w:type="spellEnd"/>
      <w:r w:rsidRPr="00B67F27">
        <w:rPr>
          <w:rFonts w:ascii="Arial" w:eastAsia="Times New Roman" w:hAnsi="Arial" w:cs="Arial"/>
          <w:color w:val="000000"/>
          <w:sz w:val="20"/>
          <w:szCs w:val="20"/>
          <w:shd w:val="clear" w:color="auto" w:fill="FFFFFF"/>
        </w:rPr>
        <w:t xml:space="preserve"> </w:t>
      </w:r>
      <w:proofErr w:type="spellStart"/>
      <w:r w:rsidRPr="00B67F27">
        <w:rPr>
          <w:rFonts w:ascii="Arial" w:eastAsia="Times New Roman" w:hAnsi="Arial" w:cs="Arial"/>
          <w:color w:val="000000"/>
          <w:sz w:val="20"/>
          <w:szCs w:val="20"/>
          <w:shd w:val="clear" w:color="auto" w:fill="FFFFFF"/>
        </w:rPr>
        <w:t>Space</w:t>
      </w:r>
      <w:proofErr w:type="spellEnd"/>
      <w:r w:rsidRPr="00B67F27">
        <w:rPr>
          <w:rFonts w:ascii="Arial" w:eastAsia="Times New Roman" w:hAnsi="Arial" w:cs="Arial"/>
          <w:color w:val="000000"/>
          <w:sz w:val="20"/>
          <w:szCs w:val="20"/>
          <w:shd w:val="clear" w:color="auto" w:fill="FFFFFF"/>
        </w:rPr>
        <w:t xml:space="preserve"> Agency – ESA), fondée en 1975, s’occupe des lancements à l’intérieur du CSG.</w:t>
      </w:r>
      <w:r>
        <w:rPr>
          <w:rFonts w:ascii="Arial" w:eastAsia="Times New Roman" w:hAnsi="Arial" w:cs="Arial"/>
          <w:sz w:val="20"/>
          <w:szCs w:val="20"/>
        </w:rPr>
        <w:t xml:space="preserve"> </w:t>
      </w:r>
      <w:r w:rsidRPr="00B67F27">
        <w:rPr>
          <w:rFonts w:ascii="Arial" w:hAnsi="Arial" w:cs="Arial"/>
          <w:color w:val="000000"/>
          <w:sz w:val="20"/>
          <w:szCs w:val="20"/>
        </w:rPr>
        <w:t>Avec le CSG, la Guyane est devenue, pour la France et l’Europe, une vitrine technologique. Cette Collectivité territoriale d’Outre-mer leur donne un relatif contrôle sur un marché très prisé, celui des satellites d’observation et de télécommunications. Ces équipements deviennent essentiels pour la défense, la météorologie, les transmissions de données, le système audiovisuel, etc. Le CSG permet aussi d’offrir une véritable stratégie d’action dans ces domaines. Il insère la Guyane dans le milieu technico-technologique avec une position stratégique de niveau international, d’autant plus que le monde ne compte qu’une trentaine de bases de lancement de satellites (</w:t>
      </w:r>
      <w:proofErr w:type="spellStart"/>
      <w:r w:rsidRPr="00B67F27">
        <w:rPr>
          <w:rFonts w:ascii="Arial" w:hAnsi="Arial" w:cs="Arial"/>
          <w:color w:val="000000"/>
          <w:sz w:val="20"/>
          <w:szCs w:val="20"/>
        </w:rPr>
        <w:t>Miévilly</w:t>
      </w:r>
      <w:proofErr w:type="spellEnd"/>
      <w:r w:rsidRPr="00B67F27">
        <w:rPr>
          <w:rFonts w:ascii="Arial" w:hAnsi="Arial" w:cs="Arial"/>
          <w:color w:val="000000"/>
          <w:sz w:val="20"/>
          <w:szCs w:val="20"/>
        </w:rPr>
        <w:t>, 2002). </w:t>
      </w:r>
    </w:p>
    <w:p w14:paraId="5307CD45" w14:textId="77777777" w:rsidR="00921A6F" w:rsidRPr="00B67F27" w:rsidRDefault="00921A6F" w:rsidP="00921A6F">
      <w:pPr>
        <w:jc w:val="both"/>
        <w:rPr>
          <w:rFonts w:ascii="Arial" w:eastAsia="Times New Roman" w:hAnsi="Arial" w:cs="Arial"/>
          <w:sz w:val="20"/>
          <w:szCs w:val="20"/>
        </w:rPr>
      </w:pPr>
    </w:p>
    <w:p w14:paraId="6D5AA063" w14:textId="77777777" w:rsidR="00921A6F" w:rsidRPr="00B67F27" w:rsidRDefault="00921A6F" w:rsidP="00921A6F">
      <w:pPr>
        <w:jc w:val="both"/>
        <w:rPr>
          <w:rFonts w:ascii="Arial" w:eastAsia="Times New Roman" w:hAnsi="Arial" w:cs="Arial"/>
          <w:sz w:val="20"/>
          <w:szCs w:val="20"/>
        </w:rPr>
      </w:pPr>
      <w:r w:rsidRPr="00B67F27">
        <w:rPr>
          <w:rFonts w:ascii="Arial" w:eastAsia="Times New Roman" w:hAnsi="Arial" w:cs="Arial"/>
          <w:color w:val="000000"/>
          <w:sz w:val="20"/>
          <w:szCs w:val="20"/>
          <w:shd w:val="clear" w:color="auto" w:fill="FFFFFF"/>
        </w:rPr>
        <w:t xml:space="preserve">Dans ce dernier volet, on inséra </w:t>
      </w:r>
      <w:r w:rsidRPr="00AE6D61">
        <w:rPr>
          <w:rFonts w:ascii="Arial" w:eastAsia="Times New Roman" w:hAnsi="Arial" w:cs="Arial"/>
          <w:b/>
          <w:color w:val="000000"/>
          <w:sz w:val="20"/>
          <w:szCs w:val="20"/>
          <w:shd w:val="clear" w:color="auto" w:fill="FFFFFF"/>
        </w:rPr>
        <w:t>le PO Amazonie, premier programme de coopération transfrontalière qui inclut, ensemble, la Guyane Française, le Surinam et le Brésil</w:t>
      </w:r>
      <w:r>
        <w:rPr>
          <w:rFonts w:ascii="Arial" w:eastAsia="Times New Roman" w:hAnsi="Arial" w:cs="Arial"/>
          <w:color w:val="000000"/>
          <w:sz w:val="20"/>
          <w:szCs w:val="20"/>
          <w:shd w:val="clear" w:color="auto" w:fill="FFFFFF"/>
        </w:rPr>
        <w:t>.</w:t>
      </w:r>
    </w:p>
    <w:p w14:paraId="48C7EB61" w14:textId="77777777" w:rsidR="00921A6F" w:rsidRPr="00B67F27" w:rsidRDefault="00921A6F" w:rsidP="00921A6F">
      <w:pPr>
        <w:jc w:val="both"/>
        <w:rPr>
          <w:rFonts w:ascii="Arial" w:eastAsia="Times New Roman" w:hAnsi="Arial" w:cs="Arial"/>
          <w:sz w:val="20"/>
          <w:szCs w:val="20"/>
        </w:rPr>
      </w:pPr>
      <w:r w:rsidRPr="00B67F27">
        <w:rPr>
          <w:rFonts w:ascii="Arial" w:eastAsia="Times New Roman" w:hAnsi="Arial" w:cs="Arial"/>
          <w:color w:val="000000"/>
          <w:sz w:val="20"/>
          <w:szCs w:val="20"/>
          <w:shd w:val="clear" w:color="auto" w:fill="FFFFFF"/>
        </w:rPr>
        <w:t>Le coût total estimé pour la version I du programme était de 17,1 millions d’euros, auxquels il faut ajouter les budgets du Surinam et du Brésil, comme contrepartie. Au bout des 6 ans de la version I du PO Amazonie, le coût total investi par le FEDER était de 20,6 millions d’euros</w:t>
      </w:r>
      <w:r>
        <w:rPr>
          <w:rFonts w:ascii="Arial" w:eastAsia="Times New Roman" w:hAnsi="Arial" w:cs="Arial"/>
          <w:color w:val="000000"/>
          <w:sz w:val="20"/>
          <w:szCs w:val="20"/>
          <w:shd w:val="clear" w:color="auto" w:fill="FFFFFF"/>
        </w:rPr>
        <w:t>.</w:t>
      </w:r>
    </w:p>
    <w:p w14:paraId="389DB3FE" w14:textId="77777777" w:rsidR="00921A6F" w:rsidRPr="00B67F27" w:rsidRDefault="00921A6F" w:rsidP="00921A6F">
      <w:pPr>
        <w:jc w:val="both"/>
        <w:rPr>
          <w:rFonts w:ascii="Arial" w:eastAsia="Times New Roman" w:hAnsi="Arial" w:cs="Arial"/>
          <w:sz w:val="20"/>
          <w:szCs w:val="20"/>
        </w:rPr>
      </w:pPr>
      <w:r w:rsidRPr="00B67F27">
        <w:rPr>
          <w:rFonts w:ascii="Arial" w:eastAsia="Times New Roman" w:hAnsi="Arial" w:cs="Arial"/>
          <w:color w:val="000000"/>
          <w:sz w:val="20"/>
          <w:szCs w:val="20"/>
          <w:shd w:val="clear" w:color="auto" w:fill="FFFFFF"/>
        </w:rPr>
        <w:t>En analysant les résultats des projets financés dans cet axe, il est possible de conclure que le développement durable, avec comme objet principal les tortues marines (</w:t>
      </w:r>
      <w:proofErr w:type="spellStart"/>
      <w:r w:rsidRPr="00B67F27">
        <w:rPr>
          <w:rFonts w:ascii="Arial" w:eastAsia="Times New Roman" w:hAnsi="Arial" w:cs="Arial"/>
          <w:color w:val="000000"/>
          <w:sz w:val="20"/>
          <w:szCs w:val="20"/>
          <w:shd w:val="clear" w:color="auto" w:fill="FFFFFF"/>
        </w:rPr>
        <w:t>Oyana</w:t>
      </w:r>
      <w:proofErr w:type="spellEnd"/>
      <w:r w:rsidRPr="00B67F27">
        <w:rPr>
          <w:rFonts w:ascii="Arial" w:eastAsia="Times New Roman" w:hAnsi="Arial" w:cs="Arial"/>
          <w:color w:val="000000"/>
          <w:sz w:val="20"/>
          <w:szCs w:val="20"/>
          <w:shd w:val="clear" w:color="auto" w:fill="FFFFFF"/>
        </w:rPr>
        <w:t xml:space="preserve">, CARET, </w:t>
      </w:r>
      <w:proofErr w:type="spellStart"/>
      <w:r w:rsidRPr="00B67F27">
        <w:rPr>
          <w:rFonts w:ascii="Arial" w:eastAsia="Times New Roman" w:hAnsi="Arial" w:cs="Arial"/>
          <w:color w:val="000000"/>
          <w:sz w:val="20"/>
          <w:szCs w:val="20"/>
          <w:shd w:val="clear" w:color="auto" w:fill="FFFFFF"/>
        </w:rPr>
        <w:t>Quelônios</w:t>
      </w:r>
      <w:proofErr w:type="spellEnd"/>
      <w:r w:rsidRPr="00B67F27">
        <w:rPr>
          <w:rFonts w:ascii="Arial" w:eastAsia="Times New Roman" w:hAnsi="Arial" w:cs="Arial"/>
          <w:color w:val="000000"/>
          <w:sz w:val="20"/>
          <w:szCs w:val="20"/>
          <w:shd w:val="clear" w:color="auto" w:fill="FFFFFF"/>
        </w:rPr>
        <w:t xml:space="preserve"> para </w:t>
      </w:r>
      <w:proofErr w:type="spellStart"/>
      <w:r w:rsidRPr="00B67F27">
        <w:rPr>
          <w:rFonts w:ascii="Arial" w:eastAsia="Times New Roman" w:hAnsi="Arial" w:cs="Arial"/>
          <w:color w:val="000000"/>
          <w:sz w:val="20"/>
          <w:szCs w:val="20"/>
          <w:shd w:val="clear" w:color="auto" w:fill="FFFFFF"/>
        </w:rPr>
        <w:t>Sempre</w:t>
      </w:r>
      <w:proofErr w:type="spellEnd"/>
      <w:r w:rsidRPr="00B67F27">
        <w:rPr>
          <w:rFonts w:ascii="Arial" w:eastAsia="Times New Roman" w:hAnsi="Arial" w:cs="Arial"/>
          <w:color w:val="000000"/>
          <w:sz w:val="20"/>
          <w:szCs w:val="20"/>
          <w:shd w:val="clear" w:color="auto" w:fill="FFFFFF"/>
        </w:rPr>
        <w:t>), la compréhension technique de la biodiver</w:t>
      </w:r>
      <w:r>
        <w:rPr>
          <w:rFonts w:ascii="Arial" w:eastAsia="Times New Roman" w:hAnsi="Arial" w:cs="Arial"/>
          <w:color w:val="000000"/>
          <w:sz w:val="20"/>
          <w:szCs w:val="20"/>
          <w:shd w:val="clear" w:color="auto" w:fill="FFFFFF"/>
        </w:rPr>
        <w:t>sité du plateau des Guyanes par</w:t>
      </w:r>
      <w:r w:rsidRPr="00B67F27">
        <w:rPr>
          <w:rFonts w:ascii="Arial" w:eastAsia="Times New Roman" w:hAnsi="Arial" w:cs="Arial"/>
          <w:color w:val="000000"/>
          <w:sz w:val="20"/>
          <w:szCs w:val="20"/>
          <w:shd w:val="clear" w:color="auto" w:fill="FFFFFF"/>
        </w:rPr>
        <w:t xml:space="preserve"> le biais d’images </w:t>
      </w:r>
      <w:proofErr w:type="spellStart"/>
      <w:r w:rsidRPr="00B67F27">
        <w:rPr>
          <w:rFonts w:ascii="Arial" w:eastAsia="Times New Roman" w:hAnsi="Arial" w:cs="Arial"/>
          <w:color w:val="000000"/>
          <w:sz w:val="20"/>
          <w:szCs w:val="20"/>
          <w:shd w:val="clear" w:color="auto" w:fill="FFFFFF"/>
        </w:rPr>
        <w:t>satellitales</w:t>
      </w:r>
      <w:proofErr w:type="spellEnd"/>
      <w:r w:rsidRPr="00B67F27">
        <w:rPr>
          <w:rFonts w:ascii="Arial" w:eastAsia="Times New Roman" w:hAnsi="Arial" w:cs="Arial"/>
          <w:color w:val="000000"/>
          <w:sz w:val="20"/>
          <w:szCs w:val="20"/>
          <w:shd w:val="clear" w:color="auto" w:fill="FFFFFF"/>
        </w:rPr>
        <w:t xml:space="preserve"> et de travaux de terrains (Ose-</w:t>
      </w:r>
      <w:proofErr w:type="spellStart"/>
      <w:r w:rsidRPr="00B67F27">
        <w:rPr>
          <w:rFonts w:ascii="Arial" w:eastAsia="Times New Roman" w:hAnsi="Arial" w:cs="Arial"/>
          <w:color w:val="000000"/>
          <w:sz w:val="20"/>
          <w:szCs w:val="20"/>
          <w:shd w:val="clear" w:color="auto" w:fill="FFFFFF"/>
        </w:rPr>
        <w:t>Guyamapa</w:t>
      </w:r>
      <w:proofErr w:type="spellEnd"/>
      <w:r w:rsidRPr="00B67F27">
        <w:rPr>
          <w:rFonts w:ascii="Arial" w:eastAsia="Times New Roman" w:hAnsi="Arial" w:cs="Arial"/>
          <w:color w:val="000000"/>
          <w:sz w:val="20"/>
          <w:szCs w:val="20"/>
          <w:shd w:val="clear" w:color="auto" w:fill="FFFFFF"/>
        </w:rPr>
        <w:t>) ; les études techniques sur le passage et l’échange de marchandises par le fleuve Maroni ; l’aide aux communautés isolées de Guyane Française pour l’amélioration de la qualité de vie (projet Rotary) et les réponses aux probables catastrophes (Croix Rouge) ont constitué les initiatives privilégiées par le financement.</w:t>
      </w:r>
    </w:p>
    <w:p w14:paraId="150EE341" w14:textId="77777777" w:rsidR="00921A6F" w:rsidRPr="00B67F27" w:rsidRDefault="00921A6F" w:rsidP="00921A6F">
      <w:pPr>
        <w:jc w:val="both"/>
        <w:rPr>
          <w:rFonts w:ascii="Arial" w:eastAsia="Times New Roman" w:hAnsi="Arial" w:cs="Arial"/>
          <w:sz w:val="20"/>
          <w:szCs w:val="20"/>
        </w:rPr>
      </w:pPr>
      <w:r>
        <w:rPr>
          <w:rFonts w:ascii="Arial" w:eastAsia="Times New Roman" w:hAnsi="Arial" w:cs="Arial"/>
          <w:color w:val="000000"/>
          <w:sz w:val="20"/>
          <w:szCs w:val="20"/>
          <w:shd w:val="clear" w:color="auto" w:fill="FFFFFF"/>
        </w:rPr>
        <w:t>L</w:t>
      </w:r>
      <w:r w:rsidRPr="00B67F27">
        <w:rPr>
          <w:rFonts w:ascii="Arial" w:eastAsia="Times New Roman" w:hAnsi="Arial" w:cs="Arial"/>
          <w:color w:val="000000"/>
          <w:sz w:val="20"/>
          <w:szCs w:val="20"/>
          <w:shd w:val="clear" w:color="auto" w:fill="FFFFFF"/>
        </w:rPr>
        <w:t xml:space="preserve">’axe 2, qui est un axe technico-informationnel, a obtenu environ 30% du financement pour l’investissement comme projet à caractère économique. Parmi une myriade de projets, on trouve un investissement pour des études de viabilité de nouvelles lignes aériennes ; la production d’énergie partagée par le biais de la biomasse (projet </w:t>
      </w:r>
      <w:proofErr w:type="spellStart"/>
      <w:r w:rsidRPr="00B67F27">
        <w:rPr>
          <w:rFonts w:ascii="Arial" w:eastAsia="Times New Roman" w:hAnsi="Arial" w:cs="Arial"/>
          <w:color w:val="000000"/>
          <w:sz w:val="20"/>
          <w:szCs w:val="20"/>
          <w:shd w:val="clear" w:color="auto" w:fill="FFFFFF"/>
        </w:rPr>
        <w:t>Rewatt</w:t>
      </w:r>
      <w:proofErr w:type="spellEnd"/>
      <w:r w:rsidRPr="00B67F27">
        <w:rPr>
          <w:rFonts w:ascii="Arial" w:eastAsia="Times New Roman" w:hAnsi="Arial" w:cs="Arial"/>
          <w:color w:val="000000"/>
          <w:sz w:val="20"/>
          <w:szCs w:val="20"/>
          <w:shd w:val="clear" w:color="auto" w:fill="FFFFFF"/>
        </w:rPr>
        <w:t>) ; l’implantation d’une infrastructure de fibre optique pou</w:t>
      </w:r>
      <w:r>
        <w:rPr>
          <w:rFonts w:ascii="Arial" w:eastAsia="Times New Roman" w:hAnsi="Arial" w:cs="Arial"/>
          <w:color w:val="000000"/>
          <w:sz w:val="20"/>
          <w:szCs w:val="20"/>
          <w:shd w:val="clear" w:color="auto" w:fill="FFFFFF"/>
        </w:rPr>
        <w:t>r le partage d’internet (</w:t>
      </w:r>
      <w:proofErr w:type="spellStart"/>
      <w:r>
        <w:rPr>
          <w:rFonts w:ascii="Arial" w:eastAsia="Times New Roman" w:hAnsi="Arial" w:cs="Arial"/>
          <w:color w:val="000000"/>
          <w:sz w:val="20"/>
          <w:szCs w:val="20"/>
          <w:shd w:val="clear" w:color="auto" w:fill="FFFFFF"/>
        </w:rPr>
        <w:t>Guyacom</w:t>
      </w:r>
      <w:proofErr w:type="spellEnd"/>
      <w:r w:rsidRPr="00B67F27">
        <w:rPr>
          <w:rFonts w:ascii="Arial" w:eastAsia="Times New Roman" w:hAnsi="Arial" w:cs="Arial"/>
          <w:color w:val="000000"/>
          <w:sz w:val="20"/>
          <w:szCs w:val="20"/>
          <w:shd w:val="clear" w:color="auto" w:fill="FFFFFF"/>
        </w:rPr>
        <w:t xml:space="preserve"> « </w:t>
      </w:r>
      <w:proofErr w:type="spellStart"/>
      <w:r w:rsidRPr="00B67F27">
        <w:rPr>
          <w:rFonts w:ascii="Arial" w:eastAsia="Times New Roman" w:hAnsi="Arial" w:cs="Arial"/>
          <w:color w:val="000000"/>
          <w:sz w:val="20"/>
          <w:szCs w:val="20"/>
          <w:shd w:val="clear" w:color="auto" w:fill="FFFFFF"/>
        </w:rPr>
        <w:t>Spany</w:t>
      </w:r>
      <w:proofErr w:type="spellEnd"/>
      <w:r w:rsidRPr="00B67F27">
        <w:rPr>
          <w:rFonts w:ascii="Arial" w:eastAsia="Times New Roman" w:hAnsi="Arial" w:cs="Arial"/>
          <w:color w:val="000000"/>
          <w:sz w:val="20"/>
          <w:szCs w:val="20"/>
          <w:shd w:val="clear" w:color="auto" w:fill="FFFFFF"/>
        </w:rPr>
        <w:t xml:space="preserve"> » et </w:t>
      </w:r>
      <w:proofErr w:type="spellStart"/>
      <w:r w:rsidRPr="00B67F27">
        <w:rPr>
          <w:rFonts w:ascii="Arial" w:eastAsia="Times New Roman" w:hAnsi="Arial" w:cs="Arial"/>
          <w:color w:val="000000"/>
          <w:sz w:val="20"/>
          <w:szCs w:val="20"/>
          <w:shd w:val="clear" w:color="auto" w:fill="FFFFFF"/>
        </w:rPr>
        <w:t>Spany</w:t>
      </w:r>
      <w:proofErr w:type="spellEnd"/>
      <w:r w:rsidRPr="00B67F27">
        <w:rPr>
          <w:rFonts w:ascii="Arial" w:eastAsia="Times New Roman" w:hAnsi="Arial" w:cs="Arial"/>
          <w:color w:val="000000"/>
          <w:sz w:val="20"/>
          <w:szCs w:val="20"/>
          <w:shd w:val="clear" w:color="auto" w:fill="FFFFFF"/>
        </w:rPr>
        <w:t xml:space="preserve"> Est), ainsi que la gestion d’informations pour les entreprises qui s’intéressent au commerce transfrontalier. L’axe 3 concerne des projets éducatifs, représentant environ 17 % du montant des investissements du programme. A l’intérieur, trois projets ont été financés avec un objectif de formation éducative ou professionnelle des habitants de la Guyane, mais aussi des pays voisins.</w:t>
      </w:r>
    </w:p>
    <w:p w14:paraId="7730EF21" w14:textId="77777777" w:rsidR="00921A6F" w:rsidRPr="00B67F27" w:rsidRDefault="00921A6F" w:rsidP="00921A6F">
      <w:pPr>
        <w:jc w:val="both"/>
        <w:rPr>
          <w:rFonts w:ascii="Arial" w:hAnsi="Arial" w:cs="Arial"/>
          <w:sz w:val="20"/>
          <w:szCs w:val="20"/>
        </w:rPr>
      </w:pPr>
    </w:p>
    <w:p w14:paraId="2B52BFDF" w14:textId="77777777" w:rsidR="00921A6F" w:rsidRPr="00921A6F" w:rsidRDefault="00921A6F" w:rsidP="00921A6F">
      <w:pPr>
        <w:jc w:val="center"/>
        <w:rPr>
          <w:rFonts w:ascii="Chalkduster" w:hAnsi="Chalkduster"/>
          <w:b/>
          <w:bCs/>
          <w:color w:val="4472C4" w:themeColor="accent1"/>
          <w:sz w:val="48"/>
          <w:szCs w:val="48"/>
          <w:u w:val="single"/>
        </w:rPr>
      </w:pPr>
      <w:r w:rsidRPr="00921A6F">
        <w:rPr>
          <w:rFonts w:ascii="Chalkduster" w:hAnsi="Chalkduster"/>
          <w:b/>
          <w:bCs/>
          <w:color w:val="4472C4" w:themeColor="accent1"/>
          <w:sz w:val="48"/>
          <w:szCs w:val="48"/>
          <w:u w:val="single"/>
        </w:rPr>
        <w:t>Sources</w:t>
      </w:r>
    </w:p>
    <w:p w14:paraId="2097A3A8" w14:textId="77777777" w:rsidR="00921A6F" w:rsidRDefault="00921A6F" w:rsidP="00921A6F">
      <w:pPr>
        <w:rPr>
          <w:sz w:val="20"/>
          <w:szCs w:val="20"/>
        </w:rPr>
      </w:pPr>
    </w:p>
    <w:p w14:paraId="746E2F1B" w14:textId="77777777" w:rsidR="00921A6F" w:rsidRDefault="00921A6F" w:rsidP="00921A6F">
      <w:pPr>
        <w:rPr>
          <w:sz w:val="20"/>
          <w:szCs w:val="20"/>
        </w:rPr>
      </w:pPr>
    </w:p>
    <w:p w14:paraId="42121F29" w14:textId="77777777" w:rsidR="00921A6F" w:rsidRDefault="00921A6F" w:rsidP="00921A6F">
      <w:pPr>
        <w:rPr>
          <w:rFonts w:ascii="Arial" w:hAnsi="Arial" w:cs="Arial"/>
          <w:b/>
          <w:sz w:val="28"/>
          <w:szCs w:val="28"/>
          <w:u w:val="single"/>
        </w:rPr>
      </w:pPr>
    </w:p>
    <w:p w14:paraId="4C424794" w14:textId="77777777" w:rsidR="00921A6F" w:rsidRPr="003B263B" w:rsidRDefault="00921A6F" w:rsidP="00921A6F">
      <w:pPr>
        <w:pStyle w:val="Paragraphedeliste"/>
        <w:numPr>
          <w:ilvl w:val="0"/>
          <w:numId w:val="3"/>
        </w:numPr>
        <w:rPr>
          <w:rFonts w:ascii="Arial" w:hAnsi="Arial" w:cs="Arial"/>
        </w:rPr>
      </w:pPr>
      <w:r w:rsidRPr="003B263B">
        <w:rPr>
          <w:rFonts w:ascii="Arial" w:hAnsi="Arial" w:cs="Arial"/>
          <w:b/>
        </w:rPr>
        <w:t>La géopolitique de l'Union Européenne pour les régions ultrapériphériques:</w:t>
      </w:r>
      <w:r w:rsidRPr="003B263B">
        <w:rPr>
          <w:rFonts w:ascii="Arial" w:hAnsi="Arial" w:cs="Arial"/>
        </w:rPr>
        <w:t xml:space="preserve"> Assimilation, fragmentation et rôle de la Guyane française dans son contexte régional, </w:t>
      </w:r>
      <w:proofErr w:type="spellStart"/>
      <w:r w:rsidRPr="003B263B">
        <w:rPr>
          <w:rFonts w:ascii="Arial" w:hAnsi="Arial" w:cs="Arial"/>
        </w:rPr>
        <w:t>Gutemberg</w:t>
      </w:r>
      <w:proofErr w:type="spellEnd"/>
      <w:r w:rsidRPr="003B263B">
        <w:rPr>
          <w:rFonts w:ascii="Arial" w:hAnsi="Arial" w:cs="Arial"/>
        </w:rPr>
        <w:t xml:space="preserve"> de </w:t>
      </w:r>
      <w:proofErr w:type="spellStart"/>
      <w:r w:rsidRPr="003B263B">
        <w:rPr>
          <w:rFonts w:ascii="Arial" w:hAnsi="Arial" w:cs="Arial"/>
        </w:rPr>
        <w:t>Vilhena</w:t>
      </w:r>
      <w:proofErr w:type="spellEnd"/>
      <w:r w:rsidRPr="003B263B">
        <w:rPr>
          <w:rFonts w:ascii="Arial" w:hAnsi="Arial" w:cs="Arial"/>
        </w:rPr>
        <w:t xml:space="preserve"> Silva, </w:t>
      </w:r>
      <w:proofErr w:type="spellStart"/>
      <w:r w:rsidRPr="003B263B">
        <w:rPr>
          <w:rFonts w:ascii="Arial" w:hAnsi="Arial" w:cs="Arial"/>
        </w:rPr>
        <w:t>Jadson</w:t>
      </w:r>
      <w:proofErr w:type="spellEnd"/>
      <w:r w:rsidRPr="003B263B">
        <w:rPr>
          <w:rFonts w:ascii="Arial" w:hAnsi="Arial" w:cs="Arial"/>
        </w:rPr>
        <w:t xml:space="preserve"> Luis </w:t>
      </w:r>
      <w:proofErr w:type="spellStart"/>
      <w:r w:rsidRPr="003B263B">
        <w:rPr>
          <w:rFonts w:ascii="Arial" w:hAnsi="Arial" w:cs="Arial"/>
        </w:rPr>
        <w:t>Rebelo</w:t>
      </w:r>
      <w:proofErr w:type="spellEnd"/>
      <w:r w:rsidRPr="003B263B">
        <w:rPr>
          <w:rFonts w:ascii="Arial" w:hAnsi="Arial" w:cs="Arial"/>
        </w:rPr>
        <w:t xml:space="preserve"> Porto, Paula Gabriele </w:t>
      </w:r>
      <w:proofErr w:type="spellStart"/>
      <w:r w:rsidRPr="003B263B">
        <w:rPr>
          <w:rFonts w:ascii="Arial" w:hAnsi="Arial" w:cs="Arial"/>
        </w:rPr>
        <w:t>Sena</w:t>
      </w:r>
      <w:proofErr w:type="spellEnd"/>
      <w:r w:rsidRPr="003B263B">
        <w:rPr>
          <w:rFonts w:ascii="Arial" w:hAnsi="Arial" w:cs="Arial"/>
        </w:rPr>
        <w:t xml:space="preserve"> dos Santos et Miguel Dhenin, CONFINS, revue franco-</w:t>
      </w:r>
      <w:proofErr w:type="spellStart"/>
      <w:r w:rsidRPr="003B263B">
        <w:rPr>
          <w:rFonts w:ascii="Arial" w:hAnsi="Arial" w:cs="Arial"/>
        </w:rPr>
        <w:t>bréilienne</w:t>
      </w:r>
      <w:proofErr w:type="spellEnd"/>
      <w:r w:rsidRPr="003B263B">
        <w:rPr>
          <w:rFonts w:ascii="Arial" w:hAnsi="Arial" w:cs="Arial"/>
        </w:rPr>
        <w:t xml:space="preserve"> de géographie, n°26, 2016</w:t>
      </w:r>
    </w:p>
    <w:p w14:paraId="25C0D0E2" w14:textId="77777777" w:rsidR="00F7475B" w:rsidRDefault="00FC4DEF"/>
    <w:sectPr w:rsidR="00F7475B" w:rsidSect="000F2A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lkduster">
    <w:altName w:val="Kristen ITC"/>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5255"/>
    <w:multiLevelType w:val="hybridMultilevel"/>
    <w:tmpl w:val="8D543C84"/>
    <w:lvl w:ilvl="0" w:tplc="2E02540A">
      <w:start w:val="3"/>
      <w:numFmt w:val="upperRoman"/>
      <w:lvlText w:val="%1."/>
      <w:lvlJc w:val="left"/>
      <w:pPr>
        <w:ind w:left="1440" w:hanging="108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E130FA"/>
    <w:multiLevelType w:val="hybridMultilevel"/>
    <w:tmpl w:val="0186D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624464"/>
    <w:multiLevelType w:val="hybridMultilevel"/>
    <w:tmpl w:val="BA586496"/>
    <w:lvl w:ilvl="0" w:tplc="E8662438">
      <w:start w:val="1"/>
      <w:numFmt w:val="upperRoman"/>
      <w:lvlText w:val="%1."/>
      <w:lvlJc w:val="left"/>
      <w:pPr>
        <w:ind w:left="1080" w:hanging="72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2F50037"/>
    <w:multiLevelType w:val="hybridMultilevel"/>
    <w:tmpl w:val="D1C6488A"/>
    <w:lvl w:ilvl="0" w:tplc="6C1E4E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6F"/>
    <w:rsid w:val="000F2A55"/>
    <w:rsid w:val="00921A6F"/>
    <w:rsid w:val="009E0391"/>
    <w:rsid w:val="00FC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B15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6F"/>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1A6F"/>
    <w:pPr>
      <w:ind w:left="720"/>
      <w:contextualSpacing/>
    </w:pPr>
  </w:style>
  <w:style w:type="character" w:styleId="Lienhypertexte">
    <w:name w:val="Hyperlink"/>
    <w:basedOn w:val="Policepardfaut"/>
    <w:uiPriority w:val="99"/>
    <w:unhideWhenUsed/>
    <w:rsid w:val="00921A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6F"/>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1A6F"/>
    <w:pPr>
      <w:ind w:left="720"/>
      <w:contextualSpacing/>
    </w:pPr>
  </w:style>
  <w:style w:type="character" w:styleId="Lienhypertexte">
    <w:name w:val="Hyperlink"/>
    <w:basedOn w:val="Policepardfaut"/>
    <w:uiPriority w:val="99"/>
    <w:unhideWhenUsed/>
    <w:rsid w:val="00921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6091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ARNAUD</dc:creator>
  <cp:lastModifiedBy>User</cp:lastModifiedBy>
  <cp:revision>2</cp:revision>
  <dcterms:created xsi:type="dcterms:W3CDTF">2017-06-15T08:41:00Z</dcterms:created>
  <dcterms:modified xsi:type="dcterms:W3CDTF">2017-06-15T08:41:00Z</dcterms:modified>
</cp:coreProperties>
</file>