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E02A0" w14:textId="7566D8CA" w:rsidR="0034783F" w:rsidRDefault="0034783F" w:rsidP="0034783F">
      <w:pPr>
        <w:jc w:val="center"/>
        <w:rPr>
          <w:b/>
        </w:rPr>
      </w:pPr>
      <w:r>
        <w:rPr>
          <w:b/>
        </w:rPr>
        <w:t>LA GUYANE ET L’UNION EUROPÉENNE</w:t>
      </w:r>
    </w:p>
    <w:p w14:paraId="52B7EF5E" w14:textId="77777777" w:rsidR="0034783F" w:rsidRDefault="0034783F">
      <w:pPr>
        <w:rPr>
          <w:b/>
        </w:rPr>
      </w:pPr>
    </w:p>
    <w:p w14:paraId="6432DE1D" w14:textId="77777777" w:rsidR="00F7475B" w:rsidRPr="0034783F" w:rsidRDefault="004E40F9">
      <w:pPr>
        <w:rPr>
          <w:b/>
          <w:u w:val="single"/>
        </w:rPr>
      </w:pPr>
      <w:r w:rsidRPr="0034783F">
        <w:rPr>
          <w:b/>
          <w:u w:val="single"/>
        </w:rPr>
        <w:t>Consignes :</w:t>
      </w:r>
      <w:bookmarkStart w:id="0" w:name="_GoBack"/>
      <w:bookmarkEnd w:id="0"/>
    </w:p>
    <w:p w14:paraId="0E7FE4BE" w14:textId="77777777" w:rsidR="004E40F9" w:rsidRDefault="004E40F9" w:rsidP="004E40F9">
      <w:pPr>
        <w:jc w:val="both"/>
      </w:pPr>
      <w:r>
        <w:t>A partir des documents, classez les informations dans le tableau suivant. D’un côté, mettez ce que la Guyane apporte à l’Union européenne et de l’autre côté ce que l’Union européenne apporte à la Guyane.</w:t>
      </w:r>
    </w:p>
    <w:p w14:paraId="5B76F735" w14:textId="77777777" w:rsidR="004E40F9" w:rsidRDefault="004E40F9" w:rsidP="004E40F9">
      <w:pPr>
        <w:jc w:val="both"/>
      </w:pPr>
    </w:p>
    <w:p w14:paraId="7DF69034" w14:textId="77777777" w:rsidR="004E40F9" w:rsidRDefault="004E40F9" w:rsidP="004E40F9">
      <w:pPr>
        <w:jc w:val="both"/>
      </w:pPr>
    </w:p>
    <w:tbl>
      <w:tblPr>
        <w:tblStyle w:val="Grilledutableau"/>
        <w:tblW w:w="0" w:type="auto"/>
        <w:tblLook w:val="04A0" w:firstRow="1" w:lastRow="0" w:firstColumn="1" w:lastColumn="0" w:noHBand="0" w:noVBand="1"/>
      </w:tblPr>
      <w:tblGrid>
        <w:gridCol w:w="1254"/>
        <w:gridCol w:w="3890"/>
        <w:gridCol w:w="1254"/>
        <w:gridCol w:w="4052"/>
      </w:tblGrid>
      <w:tr w:rsidR="004E40F9" w:rsidRPr="00073F39" w14:paraId="60DFBBAF" w14:textId="77777777" w:rsidTr="004E40F9">
        <w:tc>
          <w:tcPr>
            <w:tcW w:w="1236" w:type="dxa"/>
          </w:tcPr>
          <w:p w14:paraId="770726EE" w14:textId="77777777" w:rsidR="004E40F9" w:rsidRPr="00073F39" w:rsidRDefault="004E40F9" w:rsidP="004E40F9">
            <w:pPr>
              <w:jc w:val="center"/>
              <w:rPr>
                <w:b/>
              </w:rPr>
            </w:pPr>
            <w:r w:rsidRPr="00073F39">
              <w:rPr>
                <w:b/>
              </w:rPr>
              <w:t>Document</w:t>
            </w:r>
          </w:p>
        </w:tc>
        <w:tc>
          <w:tcPr>
            <w:tcW w:w="4012" w:type="dxa"/>
          </w:tcPr>
          <w:p w14:paraId="686D6508" w14:textId="2AFF824D" w:rsidR="004E40F9" w:rsidRPr="00EF34BF" w:rsidRDefault="004E40F9" w:rsidP="00EF34BF">
            <w:pPr>
              <w:pStyle w:val="Pardeliste"/>
              <w:numPr>
                <w:ilvl w:val="0"/>
                <w:numId w:val="2"/>
              </w:numPr>
              <w:jc w:val="center"/>
              <w:rPr>
                <w:b/>
              </w:rPr>
            </w:pPr>
            <w:r w:rsidRPr="00EF34BF">
              <w:rPr>
                <w:b/>
              </w:rPr>
              <w:t>Ce que la Guyane apporte à l’Union européenne</w:t>
            </w:r>
          </w:p>
        </w:tc>
        <w:tc>
          <w:tcPr>
            <w:tcW w:w="1016" w:type="dxa"/>
          </w:tcPr>
          <w:p w14:paraId="47C9C563" w14:textId="77777777" w:rsidR="004E40F9" w:rsidRPr="00073F39" w:rsidRDefault="004E40F9" w:rsidP="004E40F9">
            <w:pPr>
              <w:jc w:val="center"/>
              <w:rPr>
                <w:b/>
              </w:rPr>
            </w:pPr>
            <w:r w:rsidRPr="00073F39">
              <w:rPr>
                <w:b/>
              </w:rPr>
              <w:t>Document</w:t>
            </w:r>
          </w:p>
        </w:tc>
        <w:tc>
          <w:tcPr>
            <w:tcW w:w="4186" w:type="dxa"/>
          </w:tcPr>
          <w:p w14:paraId="22A64CDF" w14:textId="11744327" w:rsidR="004E40F9" w:rsidRPr="00EF34BF" w:rsidRDefault="004E40F9" w:rsidP="00EF34BF">
            <w:pPr>
              <w:pStyle w:val="Pardeliste"/>
              <w:numPr>
                <w:ilvl w:val="0"/>
                <w:numId w:val="2"/>
              </w:numPr>
              <w:jc w:val="center"/>
              <w:rPr>
                <w:b/>
              </w:rPr>
            </w:pPr>
            <w:r w:rsidRPr="00EF34BF">
              <w:rPr>
                <w:b/>
              </w:rPr>
              <w:t>Ce que l’Union européenne apporte à la Guyane</w:t>
            </w:r>
          </w:p>
        </w:tc>
      </w:tr>
      <w:tr w:rsidR="004E40F9" w14:paraId="613BB184" w14:textId="77777777" w:rsidTr="004E40F9">
        <w:tc>
          <w:tcPr>
            <w:tcW w:w="1236" w:type="dxa"/>
          </w:tcPr>
          <w:p w14:paraId="70CE92F6" w14:textId="77777777" w:rsidR="004E40F9" w:rsidRDefault="004E40F9" w:rsidP="004E40F9">
            <w:pPr>
              <w:jc w:val="both"/>
            </w:pPr>
          </w:p>
          <w:p w14:paraId="27D1FDFD" w14:textId="77777777" w:rsidR="00F52242" w:rsidRDefault="00F52242" w:rsidP="004E40F9">
            <w:pPr>
              <w:jc w:val="both"/>
            </w:pPr>
          </w:p>
          <w:p w14:paraId="3E099BBE" w14:textId="77777777" w:rsidR="00F52242" w:rsidRDefault="00F52242" w:rsidP="004E40F9">
            <w:pPr>
              <w:jc w:val="both"/>
            </w:pPr>
          </w:p>
          <w:p w14:paraId="00D2E88B" w14:textId="77777777" w:rsidR="00F52242" w:rsidRDefault="00F52242" w:rsidP="004E40F9">
            <w:pPr>
              <w:jc w:val="both"/>
            </w:pPr>
          </w:p>
          <w:p w14:paraId="362FCF00" w14:textId="77777777" w:rsidR="00F52242" w:rsidRDefault="00F52242" w:rsidP="004E40F9">
            <w:pPr>
              <w:jc w:val="both"/>
            </w:pPr>
          </w:p>
          <w:p w14:paraId="6324F6CF" w14:textId="77777777" w:rsidR="00F52242" w:rsidRDefault="00F52242" w:rsidP="004E40F9">
            <w:pPr>
              <w:jc w:val="both"/>
            </w:pPr>
          </w:p>
          <w:p w14:paraId="0D0D7932" w14:textId="77777777" w:rsidR="00F52242" w:rsidRDefault="00F52242" w:rsidP="004E40F9">
            <w:pPr>
              <w:jc w:val="both"/>
            </w:pPr>
          </w:p>
          <w:p w14:paraId="7D63A836" w14:textId="77777777" w:rsidR="00F52242" w:rsidRDefault="00F52242" w:rsidP="004E40F9">
            <w:pPr>
              <w:jc w:val="both"/>
            </w:pPr>
          </w:p>
          <w:p w14:paraId="73391075" w14:textId="77777777" w:rsidR="00F52242" w:rsidRDefault="00F52242" w:rsidP="004E40F9">
            <w:pPr>
              <w:jc w:val="both"/>
            </w:pPr>
          </w:p>
          <w:p w14:paraId="58EF3014" w14:textId="77777777" w:rsidR="00F52242" w:rsidRDefault="00F52242" w:rsidP="004E40F9">
            <w:pPr>
              <w:jc w:val="both"/>
            </w:pPr>
          </w:p>
          <w:p w14:paraId="6B1462F4" w14:textId="77777777" w:rsidR="00F52242" w:rsidRDefault="00F52242" w:rsidP="004E40F9">
            <w:pPr>
              <w:jc w:val="both"/>
            </w:pPr>
          </w:p>
          <w:p w14:paraId="02301D04" w14:textId="77777777" w:rsidR="00F52242" w:rsidRDefault="00F52242" w:rsidP="004E40F9">
            <w:pPr>
              <w:jc w:val="both"/>
            </w:pPr>
          </w:p>
        </w:tc>
        <w:tc>
          <w:tcPr>
            <w:tcW w:w="4012" w:type="dxa"/>
          </w:tcPr>
          <w:p w14:paraId="0AD5E046" w14:textId="77777777" w:rsidR="004E40F9" w:rsidRDefault="004E40F9" w:rsidP="004E40F9">
            <w:pPr>
              <w:jc w:val="both"/>
            </w:pPr>
          </w:p>
        </w:tc>
        <w:tc>
          <w:tcPr>
            <w:tcW w:w="1016" w:type="dxa"/>
          </w:tcPr>
          <w:p w14:paraId="4A098B4A" w14:textId="77777777" w:rsidR="004E40F9" w:rsidRDefault="004E40F9" w:rsidP="004E40F9">
            <w:pPr>
              <w:jc w:val="both"/>
            </w:pPr>
          </w:p>
        </w:tc>
        <w:tc>
          <w:tcPr>
            <w:tcW w:w="4186" w:type="dxa"/>
          </w:tcPr>
          <w:p w14:paraId="6B3166A5" w14:textId="77777777" w:rsidR="004E40F9" w:rsidRDefault="004E40F9" w:rsidP="004E40F9">
            <w:pPr>
              <w:jc w:val="both"/>
            </w:pPr>
          </w:p>
        </w:tc>
      </w:tr>
      <w:tr w:rsidR="004E40F9" w14:paraId="54D354E2" w14:textId="77777777" w:rsidTr="004E40F9">
        <w:tc>
          <w:tcPr>
            <w:tcW w:w="1236" w:type="dxa"/>
          </w:tcPr>
          <w:p w14:paraId="11A890C8" w14:textId="77777777" w:rsidR="004E40F9" w:rsidRDefault="004E40F9" w:rsidP="004E40F9">
            <w:pPr>
              <w:jc w:val="both"/>
            </w:pPr>
          </w:p>
          <w:p w14:paraId="0AC70A72" w14:textId="77777777" w:rsidR="00F52242" w:rsidRDefault="00F52242" w:rsidP="004E40F9">
            <w:pPr>
              <w:jc w:val="both"/>
            </w:pPr>
          </w:p>
          <w:p w14:paraId="082515DE" w14:textId="77777777" w:rsidR="00F52242" w:rsidRDefault="00F52242" w:rsidP="004E40F9">
            <w:pPr>
              <w:jc w:val="both"/>
            </w:pPr>
          </w:p>
          <w:p w14:paraId="11C4966E" w14:textId="77777777" w:rsidR="00F52242" w:rsidRDefault="00F52242" w:rsidP="004E40F9">
            <w:pPr>
              <w:jc w:val="both"/>
            </w:pPr>
          </w:p>
          <w:p w14:paraId="3DCBB6F4" w14:textId="77777777" w:rsidR="00F52242" w:rsidRDefault="00F52242" w:rsidP="004E40F9">
            <w:pPr>
              <w:jc w:val="both"/>
            </w:pPr>
          </w:p>
          <w:p w14:paraId="1C1D5744" w14:textId="77777777" w:rsidR="00F52242" w:rsidRDefault="00F52242" w:rsidP="004E40F9">
            <w:pPr>
              <w:jc w:val="both"/>
            </w:pPr>
          </w:p>
          <w:p w14:paraId="2CA98D0B" w14:textId="77777777" w:rsidR="00F52242" w:rsidRDefault="00F52242" w:rsidP="004E40F9">
            <w:pPr>
              <w:jc w:val="both"/>
            </w:pPr>
          </w:p>
          <w:p w14:paraId="6F39479F" w14:textId="77777777" w:rsidR="00F52242" w:rsidRDefault="00F52242" w:rsidP="004E40F9">
            <w:pPr>
              <w:jc w:val="both"/>
            </w:pPr>
          </w:p>
          <w:p w14:paraId="037D86FE" w14:textId="77777777" w:rsidR="00F52242" w:rsidRDefault="00F52242" w:rsidP="004E40F9">
            <w:pPr>
              <w:jc w:val="both"/>
            </w:pPr>
          </w:p>
          <w:p w14:paraId="01B064DE" w14:textId="77777777" w:rsidR="00F52242" w:rsidRDefault="00F52242" w:rsidP="004E40F9">
            <w:pPr>
              <w:jc w:val="both"/>
            </w:pPr>
          </w:p>
          <w:p w14:paraId="7F94A174" w14:textId="77777777" w:rsidR="00F52242" w:rsidRDefault="00F52242" w:rsidP="004E40F9">
            <w:pPr>
              <w:jc w:val="both"/>
            </w:pPr>
          </w:p>
          <w:p w14:paraId="10E87D53" w14:textId="77777777" w:rsidR="00F52242" w:rsidRDefault="00F52242" w:rsidP="004E40F9">
            <w:pPr>
              <w:jc w:val="both"/>
            </w:pPr>
          </w:p>
          <w:p w14:paraId="421C9EB0" w14:textId="77777777" w:rsidR="00F52242" w:rsidRDefault="00F52242" w:rsidP="004E40F9">
            <w:pPr>
              <w:jc w:val="both"/>
            </w:pPr>
          </w:p>
          <w:p w14:paraId="4A15EC3F" w14:textId="77777777" w:rsidR="00F52242" w:rsidRDefault="00F52242" w:rsidP="004E40F9">
            <w:pPr>
              <w:jc w:val="both"/>
            </w:pPr>
          </w:p>
        </w:tc>
        <w:tc>
          <w:tcPr>
            <w:tcW w:w="4012" w:type="dxa"/>
          </w:tcPr>
          <w:p w14:paraId="4614F7D1" w14:textId="77777777" w:rsidR="004E40F9" w:rsidRDefault="004E40F9" w:rsidP="004E40F9">
            <w:pPr>
              <w:jc w:val="both"/>
            </w:pPr>
          </w:p>
        </w:tc>
        <w:tc>
          <w:tcPr>
            <w:tcW w:w="1016" w:type="dxa"/>
          </w:tcPr>
          <w:p w14:paraId="2D73D8FB" w14:textId="77777777" w:rsidR="004E40F9" w:rsidRDefault="004E40F9" w:rsidP="004E40F9">
            <w:pPr>
              <w:jc w:val="both"/>
            </w:pPr>
          </w:p>
        </w:tc>
        <w:tc>
          <w:tcPr>
            <w:tcW w:w="4186" w:type="dxa"/>
          </w:tcPr>
          <w:p w14:paraId="5057D6AC" w14:textId="77777777" w:rsidR="004E40F9" w:rsidRDefault="004E40F9" w:rsidP="004E40F9">
            <w:pPr>
              <w:jc w:val="both"/>
            </w:pPr>
          </w:p>
        </w:tc>
      </w:tr>
      <w:tr w:rsidR="00F52242" w14:paraId="4AF15836" w14:textId="77777777" w:rsidTr="004E40F9">
        <w:tc>
          <w:tcPr>
            <w:tcW w:w="1236" w:type="dxa"/>
          </w:tcPr>
          <w:p w14:paraId="5F008EFE" w14:textId="77777777" w:rsidR="00F52242" w:rsidRDefault="00F52242" w:rsidP="004E40F9">
            <w:pPr>
              <w:jc w:val="both"/>
            </w:pPr>
          </w:p>
          <w:p w14:paraId="337A83EF" w14:textId="77777777" w:rsidR="00F52242" w:rsidRDefault="00F52242" w:rsidP="004E40F9">
            <w:pPr>
              <w:jc w:val="both"/>
            </w:pPr>
          </w:p>
          <w:p w14:paraId="671A3AAA" w14:textId="77777777" w:rsidR="00F52242" w:rsidRDefault="00F52242" w:rsidP="004E40F9">
            <w:pPr>
              <w:jc w:val="both"/>
            </w:pPr>
          </w:p>
          <w:p w14:paraId="7449776E" w14:textId="77777777" w:rsidR="00F52242" w:rsidRDefault="00F52242" w:rsidP="004E40F9">
            <w:pPr>
              <w:jc w:val="both"/>
            </w:pPr>
          </w:p>
          <w:p w14:paraId="4177A87A" w14:textId="77777777" w:rsidR="00F52242" w:rsidRDefault="00F52242" w:rsidP="004E40F9">
            <w:pPr>
              <w:jc w:val="both"/>
            </w:pPr>
          </w:p>
          <w:p w14:paraId="7E24439C" w14:textId="77777777" w:rsidR="00F52242" w:rsidRDefault="00F52242" w:rsidP="004E40F9">
            <w:pPr>
              <w:jc w:val="both"/>
            </w:pPr>
          </w:p>
          <w:p w14:paraId="0402E3C5" w14:textId="77777777" w:rsidR="00F52242" w:rsidRDefault="00F52242" w:rsidP="004E40F9">
            <w:pPr>
              <w:jc w:val="both"/>
            </w:pPr>
          </w:p>
          <w:p w14:paraId="7DE89D28" w14:textId="77777777" w:rsidR="00F52242" w:rsidRDefault="00F52242" w:rsidP="004E40F9">
            <w:pPr>
              <w:jc w:val="both"/>
            </w:pPr>
          </w:p>
          <w:p w14:paraId="5FE20842" w14:textId="77777777" w:rsidR="00F52242" w:rsidRDefault="00F52242" w:rsidP="004E40F9">
            <w:pPr>
              <w:jc w:val="both"/>
            </w:pPr>
          </w:p>
          <w:p w14:paraId="4B3682EF" w14:textId="77777777" w:rsidR="00F52242" w:rsidRDefault="00F52242" w:rsidP="004E40F9">
            <w:pPr>
              <w:jc w:val="both"/>
            </w:pPr>
          </w:p>
          <w:p w14:paraId="0549F1EE" w14:textId="77777777" w:rsidR="00F52242" w:rsidRDefault="00F52242" w:rsidP="004E40F9">
            <w:pPr>
              <w:jc w:val="both"/>
            </w:pPr>
          </w:p>
          <w:p w14:paraId="5042A511" w14:textId="77777777" w:rsidR="00F52242" w:rsidRDefault="00F52242" w:rsidP="004E40F9">
            <w:pPr>
              <w:jc w:val="both"/>
            </w:pPr>
          </w:p>
          <w:p w14:paraId="27C35E82" w14:textId="77777777" w:rsidR="00F52242" w:rsidRDefault="00F52242" w:rsidP="004E40F9">
            <w:pPr>
              <w:jc w:val="both"/>
            </w:pPr>
          </w:p>
          <w:p w14:paraId="513BA370" w14:textId="77777777" w:rsidR="00F52242" w:rsidRDefault="00F52242" w:rsidP="004E40F9">
            <w:pPr>
              <w:jc w:val="both"/>
            </w:pPr>
          </w:p>
        </w:tc>
        <w:tc>
          <w:tcPr>
            <w:tcW w:w="4012" w:type="dxa"/>
          </w:tcPr>
          <w:p w14:paraId="77F9CFA2" w14:textId="77777777" w:rsidR="00F52242" w:rsidRDefault="00F52242" w:rsidP="004E40F9">
            <w:pPr>
              <w:jc w:val="both"/>
            </w:pPr>
          </w:p>
        </w:tc>
        <w:tc>
          <w:tcPr>
            <w:tcW w:w="1016" w:type="dxa"/>
          </w:tcPr>
          <w:p w14:paraId="459F72C9" w14:textId="77777777" w:rsidR="00F52242" w:rsidRDefault="00F52242" w:rsidP="004E40F9">
            <w:pPr>
              <w:jc w:val="both"/>
            </w:pPr>
          </w:p>
        </w:tc>
        <w:tc>
          <w:tcPr>
            <w:tcW w:w="4186" w:type="dxa"/>
          </w:tcPr>
          <w:p w14:paraId="11036975" w14:textId="77777777" w:rsidR="00F52242" w:rsidRDefault="00F52242" w:rsidP="004E40F9">
            <w:pPr>
              <w:jc w:val="both"/>
            </w:pPr>
          </w:p>
        </w:tc>
      </w:tr>
    </w:tbl>
    <w:p w14:paraId="4A6C381E" w14:textId="7583EEE7" w:rsidR="009957D1" w:rsidRDefault="009957D1" w:rsidP="004E40F9">
      <w:pPr>
        <w:jc w:val="both"/>
      </w:pPr>
    </w:p>
    <w:p w14:paraId="6170F9E5" w14:textId="77777777" w:rsidR="009957D1" w:rsidRDefault="009957D1">
      <w:r>
        <w:br w:type="page"/>
      </w:r>
    </w:p>
    <w:p w14:paraId="57423531" w14:textId="6064E92C" w:rsidR="00D211C6" w:rsidRDefault="00D211C6" w:rsidP="00D211C6">
      <w:pPr>
        <w:jc w:val="center"/>
        <w:rPr>
          <w:b/>
          <w:sz w:val="40"/>
          <w:szCs w:val="40"/>
        </w:rPr>
      </w:pPr>
      <w:r w:rsidRPr="00D211C6">
        <w:rPr>
          <w:b/>
          <w:sz w:val="40"/>
          <w:szCs w:val="40"/>
        </w:rPr>
        <w:lastRenderedPageBreak/>
        <w:t>Dossier documentaire</w:t>
      </w:r>
    </w:p>
    <w:p w14:paraId="488E78BB" w14:textId="77777777" w:rsidR="00F653B7" w:rsidRPr="00D211C6" w:rsidRDefault="00F653B7" w:rsidP="00D211C6">
      <w:pPr>
        <w:jc w:val="center"/>
        <w:rPr>
          <w:b/>
          <w:sz w:val="40"/>
          <w:szCs w:val="40"/>
        </w:rPr>
      </w:pPr>
    </w:p>
    <w:p w14:paraId="21FF762A" w14:textId="49D6EB31" w:rsidR="00D211C6" w:rsidRPr="00F653B7" w:rsidRDefault="00D211C6" w:rsidP="004E40F9">
      <w:pPr>
        <w:jc w:val="both"/>
        <w:rPr>
          <w:b/>
        </w:rPr>
      </w:pPr>
      <w:r w:rsidRPr="00F653B7">
        <w:rPr>
          <w:b/>
        </w:rPr>
        <w:t>Document 1 :</w:t>
      </w:r>
      <w:r w:rsidR="00F653B7" w:rsidRPr="00F653B7">
        <w:rPr>
          <w:b/>
        </w:rPr>
        <w:t xml:space="preserve"> L’Europe, la puissance et la mer</w:t>
      </w:r>
    </w:p>
    <w:p w14:paraId="1A521481" w14:textId="5509A34C" w:rsidR="00D211C6" w:rsidRDefault="00F653B7" w:rsidP="004E40F9">
      <w:pPr>
        <w:jc w:val="both"/>
      </w:pPr>
      <w:r w:rsidRPr="00D211C6">
        <w:rPr>
          <w:noProof/>
          <w:lang w:eastAsia="fr-FR"/>
        </w:rPr>
        <w:drawing>
          <wp:anchor distT="0" distB="0" distL="114300" distR="114300" simplePos="0" relativeHeight="251660288" behindDoc="0" locked="0" layoutInCell="1" allowOverlap="1" wp14:anchorId="3DB1D52E" wp14:editId="21829D72">
            <wp:simplePos x="0" y="0"/>
            <wp:positionH relativeFrom="column">
              <wp:posOffset>696595</wp:posOffset>
            </wp:positionH>
            <wp:positionV relativeFrom="paragraph">
              <wp:posOffset>42545</wp:posOffset>
            </wp:positionV>
            <wp:extent cx="3980180" cy="3724910"/>
            <wp:effectExtent l="0" t="0" r="7620" b="889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5">
                      <a:extLst>
                        <a:ext uri="{28A0092B-C50C-407E-A947-70E740481C1C}">
                          <a14:useLocalDpi xmlns:a14="http://schemas.microsoft.com/office/drawing/2010/main" val="0"/>
                        </a:ext>
                      </a:extLst>
                    </a:blip>
                    <a:srcRect r="32971"/>
                    <a:stretch/>
                  </pic:blipFill>
                  <pic:spPr>
                    <a:xfrm>
                      <a:off x="0" y="0"/>
                      <a:ext cx="3980180" cy="3724910"/>
                    </a:xfrm>
                    <a:prstGeom prst="rect">
                      <a:avLst/>
                    </a:prstGeom>
                  </pic:spPr>
                </pic:pic>
              </a:graphicData>
            </a:graphic>
            <wp14:sizeRelH relativeFrom="page">
              <wp14:pctWidth>0</wp14:pctWidth>
            </wp14:sizeRelH>
            <wp14:sizeRelV relativeFrom="page">
              <wp14:pctHeight>0</wp14:pctHeight>
            </wp14:sizeRelV>
          </wp:anchor>
        </w:drawing>
      </w:r>
    </w:p>
    <w:p w14:paraId="5EF02D29" w14:textId="77777777" w:rsidR="00D211C6" w:rsidRDefault="00D211C6" w:rsidP="004E40F9">
      <w:pPr>
        <w:jc w:val="both"/>
      </w:pPr>
    </w:p>
    <w:p w14:paraId="1CBA6784" w14:textId="77777777" w:rsidR="00F653B7" w:rsidRDefault="00F653B7" w:rsidP="004E40F9">
      <w:pPr>
        <w:jc w:val="both"/>
      </w:pPr>
    </w:p>
    <w:p w14:paraId="3621F4AB" w14:textId="77777777" w:rsidR="00F653B7" w:rsidRDefault="00F653B7" w:rsidP="004E40F9">
      <w:pPr>
        <w:jc w:val="both"/>
      </w:pPr>
    </w:p>
    <w:p w14:paraId="4FB4030F" w14:textId="77777777" w:rsidR="00F653B7" w:rsidRDefault="00F653B7" w:rsidP="004E40F9">
      <w:pPr>
        <w:jc w:val="both"/>
      </w:pPr>
    </w:p>
    <w:p w14:paraId="47E64678" w14:textId="77777777" w:rsidR="00F653B7" w:rsidRDefault="00F653B7" w:rsidP="004E40F9">
      <w:pPr>
        <w:jc w:val="both"/>
      </w:pPr>
    </w:p>
    <w:p w14:paraId="682A3246" w14:textId="77777777" w:rsidR="00F653B7" w:rsidRDefault="00F653B7" w:rsidP="004E40F9">
      <w:pPr>
        <w:jc w:val="both"/>
      </w:pPr>
    </w:p>
    <w:p w14:paraId="35D7889D" w14:textId="77777777" w:rsidR="00F653B7" w:rsidRDefault="00F653B7" w:rsidP="004E40F9">
      <w:pPr>
        <w:jc w:val="both"/>
      </w:pPr>
    </w:p>
    <w:p w14:paraId="28A0B911" w14:textId="77777777" w:rsidR="00F653B7" w:rsidRDefault="00F653B7" w:rsidP="004E40F9">
      <w:pPr>
        <w:jc w:val="both"/>
      </w:pPr>
    </w:p>
    <w:p w14:paraId="38E88656" w14:textId="77777777" w:rsidR="00F653B7" w:rsidRDefault="00F653B7" w:rsidP="004E40F9">
      <w:pPr>
        <w:jc w:val="both"/>
      </w:pPr>
    </w:p>
    <w:p w14:paraId="4B765DD2" w14:textId="77777777" w:rsidR="00F653B7" w:rsidRDefault="00F653B7" w:rsidP="004E40F9">
      <w:pPr>
        <w:jc w:val="both"/>
      </w:pPr>
    </w:p>
    <w:p w14:paraId="16FA0D32" w14:textId="77777777" w:rsidR="00F653B7" w:rsidRDefault="00F653B7" w:rsidP="004E40F9">
      <w:pPr>
        <w:jc w:val="both"/>
      </w:pPr>
    </w:p>
    <w:p w14:paraId="11D8EAB8" w14:textId="77777777" w:rsidR="00F653B7" w:rsidRDefault="00F653B7" w:rsidP="004E40F9">
      <w:pPr>
        <w:jc w:val="both"/>
      </w:pPr>
    </w:p>
    <w:p w14:paraId="49B1471F" w14:textId="2DED4898" w:rsidR="00F653B7" w:rsidRDefault="00F653B7" w:rsidP="004E40F9">
      <w:pPr>
        <w:jc w:val="both"/>
      </w:pPr>
    </w:p>
    <w:p w14:paraId="31024588" w14:textId="1963554C" w:rsidR="00F653B7" w:rsidRDefault="00F653B7" w:rsidP="004E40F9">
      <w:pPr>
        <w:jc w:val="both"/>
      </w:pPr>
    </w:p>
    <w:p w14:paraId="3F324102" w14:textId="2C6647B7" w:rsidR="00F653B7" w:rsidRDefault="00F653B7" w:rsidP="004E40F9">
      <w:pPr>
        <w:jc w:val="both"/>
      </w:pPr>
    </w:p>
    <w:p w14:paraId="05F4B1F6" w14:textId="55DFE2A7" w:rsidR="00F653B7" w:rsidRDefault="00F653B7" w:rsidP="004E40F9">
      <w:pPr>
        <w:jc w:val="both"/>
      </w:pPr>
    </w:p>
    <w:p w14:paraId="175BE1BE" w14:textId="3E118D3B" w:rsidR="00F653B7" w:rsidRDefault="00F653B7" w:rsidP="004E40F9">
      <w:pPr>
        <w:jc w:val="both"/>
      </w:pPr>
    </w:p>
    <w:p w14:paraId="3AEFF26B" w14:textId="77777777" w:rsidR="00F653B7" w:rsidRDefault="00F653B7" w:rsidP="004E40F9">
      <w:pPr>
        <w:jc w:val="both"/>
      </w:pPr>
    </w:p>
    <w:p w14:paraId="2233B5C9" w14:textId="37057A74" w:rsidR="00F653B7" w:rsidRDefault="00F653B7" w:rsidP="004E40F9">
      <w:pPr>
        <w:jc w:val="both"/>
      </w:pPr>
    </w:p>
    <w:p w14:paraId="611E2820" w14:textId="7E1D24F7" w:rsidR="00F653B7" w:rsidRDefault="00F653B7" w:rsidP="004E40F9">
      <w:pPr>
        <w:jc w:val="both"/>
      </w:pPr>
    </w:p>
    <w:p w14:paraId="126D8C32" w14:textId="628AF7D0" w:rsidR="00D211C6" w:rsidRPr="00F653B7" w:rsidRDefault="00D211C6" w:rsidP="004E40F9">
      <w:pPr>
        <w:jc w:val="both"/>
        <w:rPr>
          <w:b/>
        </w:rPr>
      </w:pPr>
      <w:r w:rsidRPr="00F653B7">
        <w:rPr>
          <w:b/>
        </w:rPr>
        <w:t>Document 2 :</w:t>
      </w:r>
      <w:r w:rsidR="00F653B7" w:rsidRPr="00F653B7">
        <w:rPr>
          <w:b/>
        </w:rPr>
        <w:t xml:space="preserve"> L’Europe s’engage en Guyane</w:t>
      </w:r>
    </w:p>
    <w:p w14:paraId="5F27B16B" w14:textId="120CB2E9" w:rsidR="00D211C6" w:rsidRDefault="00F653B7" w:rsidP="004E40F9">
      <w:pPr>
        <w:jc w:val="both"/>
      </w:pPr>
      <w:r>
        <w:rPr>
          <w:noProof/>
          <w:lang w:eastAsia="fr-FR"/>
        </w:rPr>
        <w:drawing>
          <wp:anchor distT="0" distB="0" distL="114300" distR="114300" simplePos="0" relativeHeight="251661312" behindDoc="0" locked="0" layoutInCell="1" allowOverlap="1" wp14:anchorId="5CF636C1" wp14:editId="5E8CB963">
            <wp:simplePos x="0" y="0"/>
            <wp:positionH relativeFrom="column">
              <wp:posOffset>628650</wp:posOffset>
            </wp:positionH>
            <wp:positionV relativeFrom="paragraph">
              <wp:posOffset>927735</wp:posOffset>
            </wp:positionV>
            <wp:extent cx="5026660" cy="3764915"/>
            <wp:effectExtent l="0" t="0" r="2540" b="0"/>
            <wp:wrapSquare wrapText="bothSides"/>
            <wp:docPr id="1" name="Image 1" descr="../Capture%20d’écran%202017-05-18%20à%2015.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05-18%20à%2015.24.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666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736" w:rsidRPr="001E2736">
        <w:rPr>
          <w:noProof/>
          <w:lang w:eastAsia="fr-FR"/>
        </w:rPr>
        <mc:AlternateContent>
          <mc:Choice Requires="wps">
            <w:drawing>
              <wp:anchor distT="0" distB="0" distL="114300" distR="114300" simplePos="0" relativeHeight="251659264" behindDoc="0" locked="0" layoutInCell="1" allowOverlap="1" wp14:anchorId="300C3BED" wp14:editId="5B19A520">
                <wp:simplePos x="0" y="0"/>
                <wp:positionH relativeFrom="column">
                  <wp:posOffset>165100</wp:posOffset>
                </wp:positionH>
                <wp:positionV relativeFrom="paragraph">
                  <wp:posOffset>0</wp:posOffset>
                </wp:positionV>
                <wp:extent cx="6172835" cy="821690"/>
                <wp:effectExtent l="0" t="0" r="0" b="0"/>
                <wp:wrapSquare wrapText="bothSides"/>
                <wp:docPr id="5" name="ZoneTexte 1"/>
                <wp:cNvGraphicFramePr/>
                <a:graphic xmlns:a="http://schemas.openxmlformats.org/drawingml/2006/main">
                  <a:graphicData uri="http://schemas.microsoft.com/office/word/2010/wordprocessingShape">
                    <wps:wsp>
                      <wps:cNvSpPr txBox="1"/>
                      <wps:spPr>
                        <a:xfrm>
                          <a:off x="0" y="0"/>
                          <a:ext cx="6172835" cy="821690"/>
                        </a:xfrm>
                        <a:prstGeom prst="rect">
                          <a:avLst/>
                        </a:prstGeom>
                        <a:noFill/>
                      </wps:spPr>
                      <wps:txbx>
                        <w:txbxContent>
                          <w:p w14:paraId="35006CFE" w14:textId="2F45767E"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 xml:space="preserve">Pour la période 2007 – 2013, La Guyane a bénéficié́ de 486,11 millions d’euros de fonds structurels (hors PO Amazonie), dont 48 millions d’euros d'allocation RUP. </w:t>
                            </w:r>
                          </w:p>
                          <w:p w14:paraId="6C621C85" w14:textId="77777777"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2015 – 2020, Les dotations sont en augmentation avec un total de 600 millions d’euros de fonds structurels (hors PO Amazonie), dont 52,1 Millions d’euros d'allocation RUP.</w:t>
                            </w:r>
                          </w:p>
                          <w:p w14:paraId="0AED08C4" w14:textId="329CA17D" w:rsidR="001E2736" w:rsidRPr="001E2736" w:rsidRDefault="001E2736" w:rsidP="001E2736">
                            <w:pPr>
                              <w:pStyle w:val="Normalweb"/>
                              <w:spacing w:before="0" w:beforeAutospacing="0" w:after="0" w:afterAutospacing="0"/>
                              <w:jc w:val="right"/>
                              <w:rPr>
                                <w:rFonts w:ascii="Arial" w:hAnsi="Arial" w:cs="Arial"/>
                                <w:sz w:val="20"/>
                                <w:szCs w:val="20"/>
                              </w:rPr>
                            </w:pPr>
                            <w:r>
                              <w:rPr>
                                <w:rFonts w:ascii="Arial" w:hAnsi="Arial" w:cs="Arial"/>
                                <w:color w:val="000000" w:themeColor="text1"/>
                                <w:kern w:val="24"/>
                                <w:sz w:val="20"/>
                                <w:szCs w:val="20"/>
                              </w:rPr>
                              <w:t xml:space="preserve">Source : </w:t>
                            </w:r>
                            <w:r w:rsidRPr="001E2736">
                              <w:rPr>
                                <w:rFonts w:ascii="Arial" w:hAnsi="Arial" w:cs="Arial"/>
                                <w:color w:val="000000" w:themeColor="text1"/>
                                <w:kern w:val="24"/>
                                <w:sz w:val="20"/>
                                <w:szCs w:val="20"/>
                              </w:rPr>
                              <w:t>www.guyane.gouv.fr</w:t>
                            </w:r>
                          </w:p>
                        </w:txbxContent>
                      </wps:txbx>
                      <wps:bodyPr wrap="square" rtlCol="0">
                        <a:spAutoFit/>
                      </wps:bodyPr>
                    </wps:wsp>
                  </a:graphicData>
                </a:graphic>
                <wp14:sizeRelH relativeFrom="margin">
                  <wp14:pctWidth>0</wp14:pctWidth>
                </wp14:sizeRelH>
              </wp:anchor>
            </w:drawing>
          </mc:Choice>
          <mc:Fallback>
            <w:pict>
              <v:shapetype w14:anchorId="300C3BED" id="_x0000_t202" coordsize="21600,21600" o:spt="202" path="m0,0l0,21600,21600,21600,21600,0xe">
                <v:stroke joinstyle="miter"/>
                <v:path gradientshapeok="t" o:connecttype="rect"/>
              </v:shapetype>
              <v:shape id="ZoneTexte 1" o:spid="_x0000_s1026" type="#_x0000_t202" style="position:absolute;left:0;text-align:left;margin-left:13pt;margin-top:0;width:486.05pt;height:6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pEJgBAAAPAwAADgAAAGRycy9lMm9Eb2MueG1srFJNb9swDL0P6H8QdG8cp1iWGXGKrUV3GbYB&#10;7S69KTIVC7BETVRi59+PUtJ02G5DL5TEj8fHR61vJzeIA0Sy6FtZz+ZSgNfYWb9r5c+nh+uVFJSU&#10;79SAHlp5BJK3m6t36zE0sMAehw6iYBBPzRha2acUmqoi3YNTNMMAnoMGo1OJn3FXdVGNjO6GajGf&#10;L6sRYxciaiBi7/0pKDcF3xjQ6bsxBEkMrWRuqdhY7DbbarNWzS6q0Ft9pqH+g4VT1nPTC9S9Skrs&#10;o/0HylkdkdCkmUZXoTFWQ5mBp6nnf03z2KsAZRYWh8JFJno7WP3t8CMK27XyvRReOV7RMy/qCaYE&#10;os7yjIEaznoMnJemzzjxml/8xM489WSiyyfPIzjOQh8v4jKS0Oxc1h8Wqxvuojm2WtTLj0X96rU6&#10;REpfAJ3Il1ZGXl7RVB2+UmImnPqSkpt5fLDDkP2Z4olKvqVpO515b7E7Mu2R99tK+rVXEaSIabjD&#10;8h0yCoVP+8RIpUEuP9WcUVn10vf8Q/Ja/3yXrNd/vPkNAAD//wMAUEsDBBQABgAIAAAAIQDHANAI&#10;3AAAAAcBAAAPAAAAZHJzL2Rvd25yZXYueG1sTI/NTsMwEITvSLyDtUjcqJMIqibEqSp+JA5caMPd&#10;jZckIl5H8bZJ357lBJeRVjOa+bbcLn5QZ5xiH8hAukpAITXB9dQaqA+vdxtQkS05OwRCAxeMsK2u&#10;r0pbuDDTB5733CopoVhYAx3zWGgdmw69jaswIon3FSZvWc6p1W6ys5T7QWdJstbe9iQLnR3xqcPm&#10;e3/yBpjdLr3ULz6+fS7vz3OXNA+2Nub2Ztk9gmJc+C8Mv/iCDpUwHcOJXFSDgWwtr7ABUXHzfJOC&#10;Okosy+9BV6X+z1/9AAAA//8DAFBLAQItABQABgAIAAAAIQDkmcPA+wAAAOEBAAATAAAAAAAAAAAA&#10;AAAAAAAAAABbQ29udGVudF9UeXBlc10ueG1sUEsBAi0AFAAGAAgAAAAhACOyauHXAAAAlAEAAAsA&#10;AAAAAAAAAAAAAAAALAEAAF9yZWxzLy5yZWxzUEsBAi0AFAAGAAgAAAAhAIdaaRCYAQAADwMAAA4A&#10;AAAAAAAAAAAAAAAALAIAAGRycy9lMm9Eb2MueG1sUEsBAi0AFAAGAAgAAAAhAMcA0AjcAAAABwEA&#10;AA8AAAAAAAAAAAAAAAAA8AMAAGRycy9kb3ducmV2LnhtbFBLBQYAAAAABAAEAPMAAAD5BAAAAAA=&#10;" filled="f" stroked="f">
                <v:textbox style="mso-fit-shape-to-text:t">
                  <w:txbxContent>
                    <w:p w14:paraId="35006CFE" w14:textId="2F45767E"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 xml:space="preserve">Pour la période 2007 – 2013, La Guyane a bénéficié́ de 486,11 millions d’euros de fonds structurels (hors PO Amazonie), dont </w:t>
                      </w:r>
                      <w:bookmarkStart w:id="1" w:name="_GoBack"/>
                      <w:bookmarkEnd w:id="1"/>
                      <w:r w:rsidRPr="001E2736">
                        <w:rPr>
                          <w:rFonts w:ascii="Arial" w:hAnsi="Arial" w:cs="Arial"/>
                          <w:color w:val="000000" w:themeColor="text1"/>
                          <w:kern w:val="24"/>
                          <w:sz w:val="20"/>
                          <w:szCs w:val="20"/>
                        </w:rPr>
                        <w:t xml:space="preserve">48 millions d’euros d'allocation RUP. </w:t>
                      </w:r>
                    </w:p>
                    <w:p w14:paraId="6C621C85" w14:textId="77777777"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2015 – 2020, Les dotations sont en augmentation avec un total de 600 millions d’euros de fonds structurels (hors PO Amazonie), dont 52,1 Millions d’euros d'allocation RUP.</w:t>
                      </w:r>
                    </w:p>
                    <w:p w14:paraId="0AED08C4" w14:textId="329CA17D" w:rsidR="001E2736" w:rsidRPr="001E2736" w:rsidRDefault="001E2736" w:rsidP="001E2736">
                      <w:pPr>
                        <w:pStyle w:val="Normalweb"/>
                        <w:spacing w:before="0" w:beforeAutospacing="0" w:after="0" w:afterAutospacing="0"/>
                        <w:jc w:val="right"/>
                        <w:rPr>
                          <w:rFonts w:ascii="Arial" w:hAnsi="Arial" w:cs="Arial"/>
                          <w:sz w:val="20"/>
                          <w:szCs w:val="20"/>
                        </w:rPr>
                      </w:pPr>
                      <w:r>
                        <w:rPr>
                          <w:rFonts w:ascii="Arial" w:hAnsi="Arial" w:cs="Arial"/>
                          <w:color w:val="000000" w:themeColor="text1"/>
                          <w:kern w:val="24"/>
                          <w:sz w:val="20"/>
                          <w:szCs w:val="20"/>
                        </w:rPr>
                        <w:t xml:space="preserve">Source : </w:t>
                      </w:r>
                      <w:r w:rsidRPr="001E2736">
                        <w:rPr>
                          <w:rFonts w:ascii="Arial" w:hAnsi="Arial" w:cs="Arial"/>
                          <w:color w:val="000000" w:themeColor="text1"/>
                          <w:kern w:val="24"/>
                          <w:sz w:val="20"/>
                          <w:szCs w:val="20"/>
                        </w:rPr>
                        <w:t>www.guyane.gouv.fr</w:t>
                      </w:r>
                    </w:p>
                  </w:txbxContent>
                </v:textbox>
                <w10:wrap type="square"/>
              </v:shape>
            </w:pict>
          </mc:Fallback>
        </mc:AlternateContent>
      </w:r>
    </w:p>
    <w:p w14:paraId="351FE8C9" w14:textId="31B3053E" w:rsidR="00585F06" w:rsidRDefault="00585F06" w:rsidP="004E40F9">
      <w:pPr>
        <w:jc w:val="both"/>
      </w:pPr>
    </w:p>
    <w:p w14:paraId="57B0E1A8" w14:textId="77777777" w:rsidR="00F653B7" w:rsidRDefault="00F653B7" w:rsidP="004E40F9">
      <w:pPr>
        <w:jc w:val="both"/>
      </w:pPr>
    </w:p>
    <w:p w14:paraId="37CDC9F1" w14:textId="77777777" w:rsidR="00F653B7" w:rsidRDefault="00F653B7" w:rsidP="004E40F9">
      <w:pPr>
        <w:jc w:val="both"/>
      </w:pPr>
    </w:p>
    <w:p w14:paraId="6CC8E935" w14:textId="77777777" w:rsidR="00F653B7" w:rsidRDefault="00F653B7" w:rsidP="004E40F9">
      <w:pPr>
        <w:jc w:val="both"/>
      </w:pPr>
    </w:p>
    <w:p w14:paraId="72A77B1B" w14:textId="77777777" w:rsidR="00F653B7" w:rsidRDefault="00F653B7" w:rsidP="004E40F9">
      <w:pPr>
        <w:jc w:val="both"/>
      </w:pPr>
    </w:p>
    <w:p w14:paraId="1E2AA788" w14:textId="77777777" w:rsidR="00F653B7" w:rsidRDefault="00F653B7" w:rsidP="004E40F9">
      <w:pPr>
        <w:jc w:val="both"/>
      </w:pPr>
    </w:p>
    <w:p w14:paraId="6569D576" w14:textId="77777777" w:rsidR="00F653B7" w:rsidRDefault="00F653B7" w:rsidP="004E40F9">
      <w:pPr>
        <w:jc w:val="both"/>
      </w:pPr>
    </w:p>
    <w:p w14:paraId="282EED88" w14:textId="77777777" w:rsidR="00F653B7" w:rsidRDefault="00F653B7" w:rsidP="004E40F9">
      <w:pPr>
        <w:jc w:val="both"/>
      </w:pPr>
    </w:p>
    <w:p w14:paraId="2B5B2FD5" w14:textId="77777777" w:rsidR="00F653B7" w:rsidRDefault="00F653B7" w:rsidP="004E40F9">
      <w:pPr>
        <w:jc w:val="both"/>
      </w:pPr>
    </w:p>
    <w:p w14:paraId="6446C569" w14:textId="77777777" w:rsidR="00F653B7" w:rsidRDefault="00F653B7" w:rsidP="004E40F9">
      <w:pPr>
        <w:jc w:val="both"/>
      </w:pPr>
    </w:p>
    <w:p w14:paraId="0A102E7B" w14:textId="77777777" w:rsidR="00F653B7" w:rsidRDefault="00F653B7" w:rsidP="004E40F9">
      <w:pPr>
        <w:jc w:val="both"/>
      </w:pPr>
    </w:p>
    <w:p w14:paraId="29D3D64A" w14:textId="77777777" w:rsidR="00F653B7" w:rsidRDefault="00F653B7" w:rsidP="004E40F9">
      <w:pPr>
        <w:jc w:val="both"/>
      </w:pPr>
    </w:p>
    <w:p w14:paraId="3ED091CD" w14:textId="77777777" w:rsidR="00F653B7" w:rsidRDefault="00F653B7" w:rsidP="004E40F9">
      <w:pPr>
        <w:jc w:val="both"/>
      </w:pPr>
    </w:p>
    <w:p w14:paraId="627632CC" w14:textId="77777777" w:rsidR="00F653B7" w:rsidRDefault="00F653B7" w:rsidP="004E40F9">
      <w:pPr>
        <w:jc w:val="both"/>
      </w:pPr>
    </w:p>
    <w:p w14:paraId="6B87A754" w14:textId="77777777" w:rsidR="00F653B7" w:rsidRDefault="00F653B7" w:rsidP="004E40F9">
      <w:pPr>
        <w:jc w:val="both"/>
      </w:pPr>
    </w:p>
    <w:p w14:paraId="4E2B3EF2" w14:textId="77777777" w:rsidR="00F653B7" w:rsidRDefault="00F653B7" w:rsidP="004E40F9">
      <w:pPr>
        <w:jc w:val="both"/>
      </w:pPr>
    </w:p>
    <w:p w14:paraId="6C1AA673" w14:textId="77777777" w:rsidR="00F653B7" w:rsidRDefault="00F653B7" w:rsidP="004E40F9">
      <w:pPr>
        <w:jc w:val="both"/>
      </w:pPr>
    </w:p>
    <w:p w14:paraId="55707021" w14:textId="77777777" w:rsidR="00F653B7" w:rsidRDefault="00F653B7" w:rsidP="004E40F9">
      <w:pPr>
        <w:jc w:val="both"/>
      </w:pPr>
    </w:p>
    <w:p w14:paraId="558A809F" w14:textId="77777777" w:rsidR="00F653B7" w:rsidRDefault="00F653B7" w:rsidP="004E40F9">
      <w:pPr>
        <w:jc w:val="both"/>
      </w:pPr>
    </w:p>
    <w:p w14:paraId="3D753D69" w14:textId="77777777" w:rsidR="00F653B7" w:rsidRDefault="00F653B7" w:rsidP="004E40F9">
      <w:pPr>
        <w:jc w:val="both"/>
      </w:pPr>
    </w:p>
    <w:p w14:paraId="24323C71" w14:textId="507ADDDA" w:rsidR="00585F06" w:rsidRPr="00F653B7" w:rsidRDefault="00585F06" w:rsidP="004E40F9">
      <w:pPr>
        <w:jc w:val="both"/>
        <w:rPr>
          <w:b/>
        </w:rPr>
      </w:pPr>
      <w:r w:rsidRPr="00F653B7">
        <w:rPr>
          <w:b/>
        </w:rPr>
        <w:t>Document 3</w:t>
      </w:r>
      <w:r w:rsidR="00F653B7" w:rsidRPr="00F653B7">
        <w:rPr>
          <w:b/>
        </w:rPr>
        <w:t> : Le Centre spatial guyanais, port spatial de l’Europe</w:t>
      </w:r>
    </w:p>
    <w:p w14:paraId="2152BFDC" w14:textId="15D30F02" w:rsidR="00BD21F3" w:rsidRDefault="00BD21F3" w:rsidP="004E40F9">
      <w:pPr>
        <w:jc w:val="both"/>
      </w:pPr>
      <w:r w:rsidRPr="00BD21F3">
        <w:rPr>
          <w:noProof/>
          <w:lang w:eastAsia="fr-FR"/>
        </w:rPr>
        <w:drawing>
          <wp:inline distT="0" distB="0" distL="0" distR="0" wp14:anchorId="5CF3857C" wp14:editId="283C8E30">
            <wp:extent cx="6642100" cy="4380865"/>
            <wp:effectExtent l="0" t="0" r="127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a:stretch>
                      <a:fillRect/>
                    </a:stretch>
                  </pic:blipFill>
                  <pic:spPr>
                    <a:xfrm>
                      <a:off x="0" y="0"/>
                      <a:ext cx="6642100" cy="4380865"/>
                    </a:xfrm>
                    <a:prstGeom prst="rect">
                      <a:avLst/>
                    </a:prstGeom>
                  </pic:spPr>
                </pic:pic>
              </a:graphicData>
            </a:graphic>
          </wp:inline>
        </w:drawing>
      </w:r>
    </w:p>
    <w:p w14:paraId="5BECA54C" w14:textId="77777777" w:rsidR="009F402C" w:rsidRDefault="009F402C" w:rsidP="00BD21F3"/>
    <w:p w14:paraId="57CAAC91" w14:textId="77777777" w:rsidR="00585F06" w:rsidRPr="00585F06" w:rsidRDefault="00585F06" w:rsidP="00BD21F3">
      <w:r w:rsidRPr="00585F06">
        <w:t>Le choix d'implantation de la base spatiale en Guyane n'est pas dû au hasard. Sur 14 sites étudiés, la Guyane est le site qui répondait le mieux aux critères de sélection de ce type d'installation.</w:t>
      </w:r>
    </w:p>
    <w:p w14:paraId="154B28B8" w14:textId="77777777" w:rsidR="00585F06" w:rsidRPr="00585F06" w:rsidRDefault="00585F06" w:rsidP="00BD21F3">
      <w:r w:rsidRPr="00585F06">
        <w:t>(</w:t>
      </w:r>
      <w:r w:rsidRPr="00585F06">
        <w:rPr>
          <w:lang w:val="is-IS"/>
        </w:rPr>
        <w:t xml:space="preserve">…) </w:t>
      </w:r>
      <w:r w:rsidRPr="00585F06">
        <w:t> </w:t>
      </w:r>
      <w:r w:rsidRPr="00585F06">
        <w:rPr>
          <w:b/>
          <w:bCs/>
        </w:rPr>
        <w:t>Le 14 avril 1964, le choix du Premier Ministre, Georges Pompidou, se porte sur la Guyane,</w:t>
      </w:r>
      <w:r w:rsidRPr="00585F06">
        <w:t> qui présente de nombreux atouts :</w:t>
      </w:r>
    </w:p>
    <w:p w14:paraId="7F65DFD9" w14:textId="77777777" w:rsidR="00585F06" w:rsidRPr="00585F06" w:rsidRDefault="00585F06" w:rsidP="00BD21F3">
      <w:r w:rsidRPr="00585F06">
        <w:t>• Une large ouverture sur l'océan Atlantique favorise toutes les missions spatiales, (</w:t>
      </w:r>
      <w:r w:rsidRPr="00585F06">
        <w:rPr>
          <w:lang w:val="is-IS"/>
        </w:rPr>
        <w:t>…)</w:t>
      </w:r>
      <w:r w:rsidRPr="00585F06">
        <w:t>) avec un minimum de risque pour la population et les biens alentour. </w:t>
      </w:r>
      <w:r w:rsidRPr="00585F06">
        <w:br/>
        <w:t>• La proximité de l'équateur (</w:t>
      </w:r>
      <w:r w:rsidRPr="00585F06">
        <w:rPr>
          <w:lang w:val="is-IS"/>
        </w:rPr>
        <w:t xml:space="preserve">…) </w:t>
      </w:r>
      <w:r w:rsidRPr="00585F06">
        <w:t>procure au lanceur un complément de vitesse de l'ordre de 460 m/s. </w:t>
      </w:r>
      <w:r w:rsidRPr="00585F06">
        <w:rPr>
          <w:rFonts w:ascii="PMingLiU" w:eastAsia="PMingLiU" w:hAnsi="PMingLiU" w:cs="PMingLiU"/>
        </w:rPr>
        <w:br/>
      </w:r>
      <w:r w:rsidRPr="00585F06">
        <w:t>• La faible densité de la population (</w:t>
      </w:r>
      <w:r w:rsidRPr="00585F06">
        <w:rPr>
          <w:lang w:val="is-IS"/>
        </w:rPr>
        <w:t>…)</w:t>
      </w:r>
      <w:r w:rsidRPr="00585F06">
        <w:t>. </w:t>
      </w:r>
      <w:r w:rsidRPr="00585F06">
        <w:br/>
        <w:t>• La possibilité d'installer sur les collines environnantes des moyens de poursuite (radars et antennes de télémesure). </w:t>
      </w:r>
      <w:r w:rsidRPr="00585F06">
        <w:rPr>
          <w:rFonts w:ascii="PMingLiU" w:eastAsia="PMingLiU" w:hAnsi="PMingLiU" w:cs="PMingLiU"/>
        </w:rPr>
        <w:br/>
      </w:r>
      <w:r w:rsidRPr="00585F06">
        <w:t>• Un site bien ventilé et un climat très supportable malgré sa position équatoriale. </w:t>
      </w:r>
      <w:r w:rsidRPr="00585F06">
        <w:rPr>
          <w:rFonts w:ascii="PMingLiU" w:eastAsia="PMingLiU" w:hAnsi="PMingLiU" w:cs="PMingLiU"/>
        </w:rPr>
        <w:br/>
      </w:r>
      <w:r w:rsidRPr="00585F06">
        <w:t>• Une zone à l'abri des cyclones et des tremblements de terre. </w:t>
      </w:r>
      <w:r w:rsidRPr="00585F06">
        <w:rPr>
          <w:rFonts w:ascii="PMingLiU" w:eastAsia="PMingLiU" w:hAnsi="PMingLiU" w:cs="PMingLiU"/>
        </w:rPr>
        <w:br/>
      </w:r>
      <w:r w:rsidRPr="00585F06">
        <w:t>• Des infrastructures existantes relativement simples à adapter aux besoins du futur centre spatial (routes, aérodrome, ports, télécommunications, etc.).</w:t>
      </w:r>
    </w:p>
    <w:p w14:paraId="02499334" w14:textId="77777777" w:rsidR="00585F06" w:rsidRPr="00585F06" w:rsidRDefault="00585F06" w:rsidP="00BD21F3">
      <w:r w:rsidRPr="00585F06">
        <w:br/>
        <w:t>Le Centre Spatial Guyanais (CSG) s’installe à Kourou en 1965.</w:t>
      </w:r>
    </w:p>
    <w:p w14:paraId="5BA0DFAC" w14:textId="77777777" w:rsidR="00585F06" w:rsidRPr="00585F06" w:rsidRDefault="00585F06" w:rsidP="00BD21F3">
      <w:r w:rsidRPr="00585F06">
        <w:rPr>
          <w:b/>
          <w:bCs/>
        </w:rPr>
        <w:t>L’activité spatiale en Guyane en chiffres</w:t>
      </w:r>
      <w:r w:rsidRPr="00585F06">
        <w:br/>
      </w:r>
      <w:r w:rsidRPr="00585F06">
        <w:br/>
      </w:r>
      <w:r w:rsidRPr="00585F06">
        <w:rPr>
          <w:b/>
          <w:bCs/>
        </w:rPr>
        <w:t>15% </w:t>
      </w:r>
      <w:r w:rsidRPr="00585F06">
        <w:t>de la population active (9000 emplois directs et indirects</w:t>
      </w:r>
      <w:proofErr w:type="gramStart"/>
      <w:r w:rsidRPr="00585F06">
        <w:t>) ,</w:t>
      </w:r>
      <w:proofErr w:type="gramEnd"/>
      <w:r w:rsidRPr="00585F06">
        <w:t> </w:t>
      </w:r>
      <w:r w:rsidRPr="00585F06">
        <w:br/>
      </w:r>
      <w:r w:rsidRPr="00585F06">
        <w:rPr>
          <w:b/>
          <w:bCs/>
        </w:rPr>
        <w:t>35%</w:t>
      </w:r>
      <w:r w:rsidRPr="00585F06">
        <w:t> : pourcentage de la contribution financière à l’octroi de mer généré par l’activité spatiale en Guyane, </w:t>
      </w:r>
      <w:r w:rsidRPr="00585F06">
        <w:rPr>
          <w:rFonts w:ascii="PMingLiU" w:eastAsia="PMingLiU" w:hAnsi="PMingLiU" w:cs="PMingLiU"/>
        </w:rPr>
        <w:br/>
      </w:r>
      <w:r w:rsidRPr="00585F06">
        <w:rPr>
          <w:b/>
          <w:bCs/>
        </w:rPr>
        <w:t>15%</w:t>
      </w:r>
      <w:r w:rsidRPr="00585F06">
        <w:t> du PIB de Guyane est réalisé par l’activité spatiale, </w:t>
      </w:r>
      <w:r w:rsidRPr="00585F06">
        <w:rPr>
          <w:b/>
          <w:bCs/>
        </w:rPr>
        <w:t>15%</w:t>
      </w:r>
      <w:r w:rsidRPr="00585F06">
        <w:t> du montant global de la taxe professionnelle perçue en Guyane est versée par les entreprise de la base spatiale </w:t>
      </w:r>
      <w:r w:rsidRPr="00585F06">
        <w:rPr>
          <w:b/>
          <w:bCs/>
        </w:rPr>
        <w:t>31%</w:t>
      </w:r>
      <w:r w:rsidRPr="00585F06">
        <w:t> des salariés du CSG sont des ingénieurs et cadres et 55% sont des techniciens supérieurs. L’emploi y est largement local puisque près de </w:t>
      </w:r>
      <w:r w:rsidRPr="00585F06">
        <w:rPr>
          <w:b/>
          <w:bCs/>
        </w:rPr>
        <w:t>74%</w:t>
      </w:r>
      <w:r w:rsidRPr="00585F06">
        <w:t> de salariés relèvent de ce statut, les autres se trouvant en situation de mobilité en Guyane pour une période de 3 à 6 ans. </w:t>
      </w:r>
    </w:p>
    <w:p w14:paraId="3645713A" w14:textId="77777777" w:rsidR="00585F06" w:rsidRDefault="00585F06" w:rsidP="00BD21F3"/>
    <w:p w14:paraId="149DD54E" w14:textId="3ABC1133" w:rsidR="00F653B7" w:rsidRDefault="009F402C" w:rsidP="009F402C">
      <w:pPr>
        <w:jc w:val="right"/>
      </w:pPr>
      <w:r>
        <w:t>Source : cnes-csg.fr</w:t>
      </w:r>
    </w:p>
    <w:p w14:paraId="3309CAF0" w14:textId="1B1ACE2B" w:rsidR="00C8076E" w:rsidRDefault="00C8076E" w:rsidP="00BD21F3">
      <w:pPr>
        <w:rPr>
          <w:b/>
          <w:bCs/>
        </w:rPr>
      </w:pPr>
      <w:r w:rsidRPr="005A34D8">
        <w:rPr>
          <w:b/>
        </w:rPr>
        <w:t>Document 4 :</w:t>
      </w:r>
      <w:r w:rsidRPr="00C8076E">
        <w:rPr>
          <w:rFonts w:ascii="Arial" w:eastAsia="Arial" w:hAnsi="Arial" w:cs="Arial"/>
          <w:b/>
          <w:bCs/>
          <w:color w:val="000000" w:themeColor="text1"/>
          <w:kern w:val="24"/>
          <w:sz w:val="48"/>
          <w:szCs w:val="48"/>
        </w:rPr>
        <w:t xml:space="preserve"> </w:t>
      </w:r>
      <w:r w:rsidRPr="00C8076E">
        <w:rPr>
          <w:b/>
          <w:bCs/>
        </w:rPr>
        <w:t>Le PO Amazonie : 28 millions d’euros pour intégrer la Guyane à son environnement régional</w:t>
      </w:r>
    </w:p>
    <w:p w14:paraId="475FFC31" w14:textId="77777777" w:rsidR="00F75C54" w:rsidRPr="00F75C54" w:rsidRDefault="00F75C54" w:rsidP="00F75C54">
      <w:r w:rsidRPr="00F75C54">
        <w:t>(</w:t>
      </w:r>
      <w:r w:rsidRPr="00F75C54">
        <w:rPr>
          <w:lang w:val="is-IS"/>
        </w:rPr>
        <w:t xml:space="preserve">…) </w:t>
      </w:r>
      <w:r w:rsidRPr="00F75C54">
        <w:t>Défini dans le cadre de la </w:t>
      </w:r>
      <w:r w:rsidRPr="00F75C54">
        <w:rPr>
          <w:i/>
          <w:iCs/>
        </w:rPr>
        <w:t>Stratégie</w:t>
      </w:r>
      <w:r w:rsidRPr="00F75C54">
        <w:t> </w:t>
      </w:r>
      <w:r w:rsidRPr="00F75C54">
        <w:rPr>
          <w:i/>
          <w:iCs/>
        </w:rPr>
        <w:t>Europe2020</w:t>
      </w:r>
      <w:r w:rsidRPr="00F75C54">
        <w:t>, le PO Amazonie doit </w:t>
      </w:r>
      <w:r w:rsidRPr="00F75C54">
        <w:rPr>
          <w:i/>
          <w:iCs/>
        </w:rPr>
        <w:t>“apporter une réponse aux besoins de développement partagés de l’espace de coopération”</w:t>
      </w:r>
      <w:r w:rsidRPr="00F75C54">
        <w:t>, peut-on lire dans le document validé lundi par Bruxelles. Elle est </w:t>
      </w:r>
      <w:r w:rsidRPr="00F75C54">
        <w:rPr>
          <w:i/>
          <w:iCs/>
        </w:rPr>
        <w:t>“le fruit d’un travail collaboratif”</w:t>
      </w:r>
      <w:r w:rsidRPr="00F75C54">
        <w:t> mené par le Pôle des Affaires Européennes (géré par la Région) et les partenaires cités plus haut.</w:t>
      </w:r>
    </w:p>
    <w:p w14:paraId="485ACF8C" w14:textId="77777777" w:rsidR="00F75C54" w:rsidRPr="00F75C54" w:rsidRDefault="00F75C54" w:rsidP="00F75C54">
      <w:r w:rsidRPr="00F75C54">
        <w:t>(</w:t>
      </w:r>
      <w:r w:rsidRPr="00F75C54">
        <w:rPr>
          <w:lang w:val="is-IS"/>
        </w:rPr>
        <w:t xml:space="preserve">…) </w:t>
      </w:r>
      <w:r w:rsidRPr="00F75C54">
        <w:t>Le PO Amazonie permet aussi à l’Europe de faire de la Guyane, </w:t>
      </w:r>
      <w:r w:rsidRPr="00F75C54">
        <w:rPr>
          <w:i/>
          <w:iCs/>
        </w:rPr>
        <w:t>“un ambassadeur de l’Union Européenne dans le monde.” </w:t>
      </w:r>
      <w:r w:rsidRPr="00F75C54">
        <w:t>Pour la commission, ce nouveau programme de coopération </w:t>
      </w:r>
      <w:r w:rsidRPr="00F75C54">
        <w:rPr>
          <w:i/>
          <w:iCs/>
        </w:rPr>
        <w:t>“s’inscrit dans un contexte nouveau pour la Guyane”</w:t>
      </w:r>
      <w:r w:rsidRPr="00F75C54">
        <w:t> marqué d’une part, par la création de la CTG, et d’autre part, par le développement du positionnement international de la Guyane qui peut depuis 2010 adhérer en son nom propre aux organisations internationales à vocation régionale (en qualité de membre associé) ou par la création d’antennes régionales du Conseil régional dans ses pays voisins (antenne créée à Paramaribo en 2013).</w:t>
      </w:r>
    </w:p>
    <w:p w14:paraId="5ED90F57" w14:textId="77777777" w:rsidR="00494E70" w:rsidRPr="00F75C54" w:rsidRDefault="00F52242" w:rsidP="00F75C54">
      <w:pPr>
        <w:numPr>
          <w:ilvl w:val="0"/>
          <w:numId w:val="1"/>
        </w:numPr>
      </w:pPr>
      <w:r w:rsidRPr="00F75C54">
        <w:t>(</w:t>
      </w:r>
      <w:r w:rsidRPr="00F75C54">
        <w:rPr>
          <w:lang w:val="is-IS"/>
        </w:rPr>
        <w:t xml:space="preserve">…) </w:t>
      </w:r>
      <w:r w:rsidRPr="00F75C54">
        <w:t>1</w:t>
      </w:r>
      <w:r w:rsidRPr="00F75C54">
        <w:rPr>
          <w:vertAlign w:val="superscript"/>
        </w:rPr>
        <w:t>er</w:t>
      </w:r>
      <w:r w:rsidRPr="00F75C54">
        <w:t> axe : Renforcement de l’offre de transport (6,3 millions d’euros, soit un tiers des fonds FEDER alloués au PO Amazonie)</w:t>
      </w:r>
    </w:p>
    <w:p w14:paraId="482E6282" w14:textId="77777777" w:rsidR="00494E70" w:rsidRPr="00F75C54" w:rsidRDefault="00F52242" w:rsidP="00F75C54">
      <w:pPr>
        <w:numPr>
          <w:ilvl w:val="0"/>
          <w:numId w:val="1"/>
        </w:numPr>
      </w:pPr>
      <w:r w:rsidRPr="00F75C54">
        <w:t>2</w:t>
      </w:r>
      <w:r w:rsidRPr="00F75C54">
        <w:rPr>
          <w:vertAlign w:val="superscript"/>
        </w:rPr>
        <w:t>ème</w:t>
      </w:r>
      <w:r w:rsidRPr="00F75C54">
        <w:t> axe : Protection et valorisation de la biodiversité exceptionnelle et du patrimoine naturel et culturel (4,975 millions d’euros, soit 26% des fonds FEDER alloués) –</w:t>
      </w:r>
    </w:p>
    <w:p w14:paraId="3685F044" w14:textId="77777777" w:rsidR="00494E70" w:rsidRPr="00F75C54" w:rsidRDefault="00F52242" w:rsidP="00F75C54">
      <w:pPr>
        <w:numPr>
          <w:ilvl w:val="0"/>
          <w:numId w:val="1"/>
        </w:numPr>
      </w:pPr>
      <w:r w:rsidRPr="00F75C54">
        <w:t>3</w:t>
      </w:r>
      <w:r w:rsidRPr="00F75C54">
        <w:rPr>
          <w:vertAlign w:val="superscript"/>
        </w:rPr>
        <w:t>ème</w:t>
      </w:r>
      <w:r w:rsidRPr="00F75C54">
        <w:t> axe : Réponses aux problématiques sanitaires et sociales (4,9 M€, soit 26% des fonds FEDER alloués) – un thème qui n’avait pas sa place dans la précédente programmation 2007-2013.</w:t>
      </w:r>
    </w:p>
    <w:p w14:paraId="4B5F2EC7" w14:textId="77777777" w:rsidR="00494E70" w:rsidRPr="00F75C54" w:rsidRDefault="00F52242" w:rsidP="00F75C54">
      <w:pPr>
        <w:numPr>
          <w:ilvl w:val="0"/>
          <w:numId w:val="1"/>
        </w:numPr>
      </w:pPr>
      <w:r w:rsidRPr="00F75C54">
        <w:t>4</w:t>
      </w:r>
      <w:r w:rsidRPr="00F75C54">
        <w:rPr>
          <w:vertAlign w:val="superscript"/>
        </w:rPr>
        <w:t>ème</w:t>
      </w:r>
      <w:r w:rsidRPr="00F75C54">
        <w:t> axe : Développement de conditions favorables aux échanges et à la croissance économiques (1,23 M€, soit 6,5% des fonds FEDER alloués)</w:t>
      </w:r>
    </w:p>
    <w:p w14:paraId="1D926C79" w14:textId="77777777" w:rsidR="00F75C54" w:rsidRPr="00F75C54" w:rsidRDefault="00F75C54" w:rsidP="00F75C54">
      <w:r w:rsidRPr="00F75C54">
        <w:t>Plusieurs projets bénéficieront d’un appui très important de l’Europe, comme par exemple le bac Albina-St-Laurent </w:t>
      </w:r>
      <w:r w:rsidRPr="00F75C54">
        <w:rPr>
          <w:i/>
          <w:iCs/>
        </w:rPr>
        <w:t>La Gabrielle</w:t>
      </w:r>
      <w:r w:rsidRPr="00F75C54">
        <w:t>, censé être remplacé fin 2016, qui recueillera à lui seul 3,75 M€ des fonds du PO Amazonie.</w:t>
      </w:r>
    </w:p>
    <w:p w14:paraId="1558322E" w14:textId="77777777" w:rsidR="00F75C54" w:rsidRPr="00F75C54" w:rsidRDefault="00F75C54" w:rsidP="00F75C54">
      <w:pPr>
        <w:jc w:val="right"/>
      </w:pPr>
      <w:proofErr w:type="spellStart"/>
      <w:r w:rsidRPr="00F75C54">
        <w:t>Erwann</w:t>
      </w:r>
      <w:proofErr w:type="spellEnd"/>
      <w:r w:rsidRPr="00F75C54">
        <w:t xml:space="preserve"> S, lekotidien.fr, 2 décembre 2015</w:t>
      </w:r>
    </w:p>
    <w:p w14:paraId="37058BE8" w14:textId="77777777" w:rsidR="005A34D8" w:rsidRDefault="005A34D8" w:rsidP="00BD21F3"/>
    <w:p w14:paraId="75EE154B" w14:textId="77777777" w:rsidR="00E83F3B" w:rsidRDefault="00E83F3B" w:rsidP="00BD21F3"/>
    <w:sectPr w:rsidR="00E83F3B" w:rsidSect="004E40F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560F6"/>
    <w:multiLevelType w:val="hybridMultilevel"/>
    <w:tmpl w:val="045A6F02"/>
    <w:lvl w:ilvl="0" w:tplc="33B039F0">
      <w:start w:val="1"/>
      <w:numFmt w:val="bullet"/>
      <w:lvlText w:val="•"/>
      <w:lvlJc w:val="left"/>
      <w:pPr>
        <w:tabs>
          <w:tab w:val="num" w:pos="720"/>
        </w:tabs>
        <w:ind w:left="720" w:hanging="360"/>
      </w:pPr>
      <w:rPr>
        <w:rFonts w:ascii="Arial" w:hAnsi="Arial" w:hint="default"/>
      </w:rPr>
    </w:lvl>
    <w:lvl w:ilvl="1" w:tplc="213080A2" w:tentative="1">
      <w:start w:val="1"/>
      <w:numFmt w:val="bullet"/>
      <w:lvlText w:val="•"/>
      <w:lvlJc w:val="left"/>
      <w:pPr>
        <w:tabs>
          <w:tab w:val="num" w:pos="1440"/>
        </w:tabs>
        <w:ind w:left="1440" w:hanging="360"/>
      </w:pPr>
      <w:rPr>
        <w:rFonts w:ascii="Arial" w:hAnsi="Arial" w:hint="default"/>
      </w:rPr>
    </w:lvl>
    <w:lvl w:ilvl="2" w:tplc="35EAD6EA" w:tentative="1">
      <w:start w:val="1"/>
      <w:numFmt w:val="bullet"/>
      <w:lvlText w:val="•"/>
      <w:lvlJc w:val="left"/>
      <w:pPr>
        <w:tabs>
          <w:tab w:val="num" w:pos="2160"/>
        </w:tabs>
        <w:ind w:left="2160" w:hanging="360"/>
      </w:pPr>
      <w:rPr>
        <w:rFonts w:ascii="Arial" w:hAnsi="Arial" w:hint="default"/>
      </w:rPr>
    </w:lvl>
    <w:lvl w:ilvl="3" w:tplc="5A20EA3C" w:tentative="1">
      <w:start w:val="1"/>
      <w:numFmt w:val="bullet"/>
      <w:lvlText w:val="•"/>
      <w:lvlJc w:val="left"/>
      <w:pPr>
        <w:tabs>
          <w:tab w:val="num" w:pos="2880"/>
        </w:tabs>
        <w:ind w:left="2880" w:hanging="360"/>
      </w:pPr>
      <w:rPr>
        <w:rFonts w:ascii="Arial" w:hAnsi="Arial" w:hint="default"/>
      </w:rPr>
    </w:lvl>
    <w:lvl w:ilvl="4" w:tplc="9DEA89EC" w:tentative="1">
      <w:start w:val="1"/>
      <w:numFmt w:val="bullet"/>
      <w:lvlText w:val="•"/>
      <w:lvlJc w:val="left"/>
      <w:pPr>
        <w:tabs>
          <w:tab w:val="num" w:pos="3600"/>
        </w:tabs>
        <w:ind w:left="3600" w:hanging="360"/>
      </w:pPr>
      <w:rPr>
        <w:rFonts w:ascii="Arial" w:hAnsi="Arial" w:hint="default"/>
      </w:rPr>
    </w:lvl>
    <w:lvl w:ilvl="5" w:tplc="951AA750" w:tentative="1">
      <w:start w:val="1"/>
      <w:numFmt w:val="bullet"/>
      <w:lvlText w:val="•"/>
      <w:lvlJc w:val="left"/>
      <w:pPr>
        <w:tabs>
          <w:tab w:val="num" w:pos="4320"/>
        </w:tabs>
        <w:ind w:left="4320" w:hanging="360"/>
      </w:pPr>
      <w:rPr>
        <w:rFonts w:ascii="Arial" w:hAnsi="Arial" w:hint="default"/>
      </w:rPr>
    </w:lvl>
    <w:lvl w:ilvl="6" w:tplc="2B8283CC" w:tentative="1">
      <w:start w:val="1"/>
      <w:numFmt w:val="bullet"/>
      <w:lvlText w:val="•"/>
      <w:lvlJc w:val="left"/>
      <w:pPr>
        <w:tabs>
          <w:tab w:val="num" w:pos="5040"/>
        </w:tabs>
        <w:ind w:left="5040" w:hanging="360"/>
      </w:pPr>
      <w:rPr>
        <w:rFonts w:ascii="Arial" w:hAnsi="Arial" w:hint="default"/>
      </w:rPr>
    </w:lvl>
    <w:lvl w:ilvl="7" w:tplc="AA1C7C6A" w:tentative="1">
      <w:start w:val="1"/>
      <w:numFmt w:val="bullet"/>
      <w:lvlText w:val="•"/>
      <w:lvlJc w:val="left"/>
      <w:pPr>
        <w:tabs>
          <w:tab w:val="num" w:pos="5760"/>
        </w:tabs>
        <w:ind w:left="5760" w:hanging="360"/>
      </w:pPr>
      <w:rPr>
        <w:rFonts w:ascii="Arial" w:hAnsi="Arial" w:hint="default"/>
      </w:rPr>
    </w:lvl>
    <w:lvl w:ilvl="8" w:tplc="864218BC" w:tentative="1">
      <w:start w:val="1"/>
      <w:numFmt w:val="bullet"/>
      <w:lvlText w:val="•"/>
      <w:lvlJc w:val="left"/>
      <w:pPr>
        <w:tabs>
          <w:tab w:val="num" w:pos="6480"/>
        </w:tabs>
        <w:ind w:left="6480" w:hanging="360"/>
      </w:pPr>
      <w:rPr>
        <w:rFonts w:ascii="Arial" w:hAnsi="Arial" w:hint="default"/>
      </w:rPr>
    </w:lvl>
  </w:abstractNum>
  <w:abstractNum w:abstractNumId="1">
    <w:nsid w:val="27367261"/>
    <w:multiLevelType w:val="hybridMultilevel"/>
    <w:tmpl w:val="FADA13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F9"/>
    <w:rsid w:val="00073F39"/>
    <w:rsid w:val="000A6CEA"/>
    <w:rsid w:val="000F2A55"/>
    <w:rsid w:val="001E2736"/>
    <w:rsid w:val="003449B9"/>
    <w:rsid w:val="0034783F"/>
    <w:rsid w:val="003F691C"/>
    <w:rsid w:val="00494E70"/>
    <w:rsid w:val="004E40F9"/>
    <w:rsid w:val="00585F06"/>
    <w:rsid w:val="005A146A"/>
    <w:rsid w:val="005A34D8"/>
    <w:rsid w:val="008F2FA6"/>
    <w:rsid w:val="009957D1"/>
    <w:rsid w:val="009F402C"/>
    <w:rsid w:val="00A8357E"/>
    <w:rsid w:val="00BD21F3"/>
    <w:rsid w:val="00C8076E"/>
    <w:rsid w:val="00D211C6"/>
    <w:rsid w:val="00E06265"/>
    <w:rsid w:val="00E71930"/>
    <w:rsid w:val="00E83F3B"/>
    <w:rsid w:val="00EF34BF"/>
    <w:rsid w:val="00F4087D"/>
    <w:rsid w:val="00F52242"/>
    <w:rsid w:val="00F653B7"/>
    <w:rsid w:val="00F75C5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211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E4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736"/>
    <w:pPr>
      <w:spacing w:before="100" w:beforeAutospacing="1" w:after="100" w:afterAutospacing="1"/>
    </w:pPr>
    <w:rPr>
      <w:rFonts w:ascii="Times New Roman" w:eastAsiaTheme="minorEastAsia" w:hAnsi="Times New Roman" w:cs="Times New Roman"/>
      <w:lang w:eastAsia="fr-FR"/>
    </w:rPr>
  </w:style>
  <w:style w:type="paragraph" w:styleId="Pardeliste">
    <w:name w:val="List Paragraph"/>
    <w:basedOn w:val="Normal"/>
    <w:uiPriority w:val="34"/>
    <w:qFormat/>
    <w:rsid w:val="00EF3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7926">
      <w:bodyDiv w:val="1"/>
      <w:marLeft w:val="0"/>
      <w:marRight w:val="0"/>
      <w:marTop w:val="0"/>
      <w:marBottom w:val="0"/>
      <w:divBdr>
        <w:top w:val="none" w:sz="0" w:space="0" w:color="auto"/>
        <w:left w:val="none" w:sz="0" w:space="0" w:color="auto"/>
        <w:bottom w:val="none" w:sz="0" w:space="0" w:color="auto"/>
        <w:right w:val="none" w:sz="0" w:space="0" w:color="auto"/>
      </w:divBdr>
      <w:divsChild>
        <w:div w:id="2078084529">
          <w:marLeft w:val="547"/>
          <w:marRight w:val="0"/>
          <w:marTop w:val="62"/>
          <w:marBottom w:val="0"/>
          <w:divBdr>
            <w:top w:val="none" w:sz="0" w:space="0" w:color="auto"/>
            <w:left w:val="none" w:sz="0" w:space="0" w:color="auto"/>
            <w:bottom w:val="none" w:sz="0" w:space="0" w:color="auto"/>
            <w:right w:val="none" w:sz="0" w:space="0" w:color="auto"/>
          </w:divBdr>
        </w:div>
        <w:div w:id="28921724">
          <w:marLeft w:val="547"/>
          <w:marRight w:val="0"/>
          <w:marTop w:val="62"/>
          <w:marBottom w:val="0"/>
          <w:divBdr>
            <w:top w:val="none" w:sz="0" w:space="0" w:color="auto"/>
            <w:left w:val="none" w:sz="0" w:space="0" w:color="auto"/>
            <w:bottom w:val="none" w:sz="0" w:space="0" w:color="auto"/>
            <w:right w:val="none" w:sz="0" w:space="0" w:color="auto"/>
          </w:divBdr>
        </w:div>
        <w:div w:id="333070323">
          <w:marLeft w:val="547"/>
          <w:marRight w:val="0"/>
          <w:marTop w:val="62"/>
          <w:marBottom w:val="0"/>
          <w:divBdr>
            <w:top w:val="none" w:sz="0" w:space="0" w:color="auto"/>
            <w:left w:val="none" w:sz="0" w:space="0" w:color="auto"/>
            <w:bottom w:val="none" w:sz="0" w:space="0" w:color="auto"/>
            <w:right w:val="none" w:sz="0" w:space="0" w:color="auto"/>
          </w:divBdr>
        </w:div>
        <w:div w:id="1930651248">
          <w:marLeft w:val="547"/>
          <w:marRight w:val="0"/>
          <w:marTop w:val="62"/>
          <w:marBottom w:val="0"/>
          <w:divBdr>
            <w:top w:val="none" w:sz="0" w:space="0" w:color="auto"/>
            <w:left w:val="none" w:sz="0" w:space="0" w:color="auto"/>
            <w:bottom w:val="none" w:sz="0" w:space="0" w:color="auto"/>
            <w:right w:val="none" w:sz="0" w:space="0" w:color="auto"/>
          </w:divBdr>
        </w:div>
      </w:divsChild>
    </w:div>
    <w:div w:id="159002098">
      <w:bodyDiv w:val="1"/>
      <w:marLeft w:val="0"/>
      <w:marRight w:val="0"/>
      <w:marTop w:val="0"/>
      <w:marBottom w:val="0"/>
      <w:divBdr>
        <w:top w:val="none" w:sz="0" w:space="0" w:color="auto"/>
        <w:left w:val="none" w:sz="0" w:space="0" w:color="auto"/>
        <w:bottom w:val="none" w:sz="0" w:space="0" w:color="auto"/>
        <w:right w:val="none" w:sz="0" w:space="0" w:color="auto"/>
      </w:divBdr>
    </w:div>
    <w:div w:id="678242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677</Words>
  <Characters>3729</Characters>
  <Application>Microsoft Macintosh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ARNAUD</dc:creator>
  <cp:keywords/>
  <dc:description/>
  <cp:lastModifiedBy>MANON ARNAUD</cp:lastModifiedBy>
  <cp:revision>5</cp:revision>
  <dcterms:created xsi:type="dcterms:W3CDTF">2017-05-18T20:15:00Z</dcterms:created>
  <dcterms:modified xsi:type="dcterms:W3CDTF">2017-06-22T13:08:00Z</dcterms:modified>
</cp:coreProperties>
</file>